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519000942"/>
        <w:docPartObj>
          <w:docPartGallery w:val="Cover Pages"/>
          <w:docPartUnique/>
        </w:docPartObj>
      </w:sdtPr>
      <w:sdtEndPr/>
      <w:sdtContent>
        <w:p w:rsidR="00444367" w:rsidRDefault="00FC38B5">
          <w:pPr>
            <w:spacing w:after="240" w:line="240" w:lineRule="auto"/>
            <w:jc w:val="center"/>
            <w:rPr>
              <w:rFonts w:ascii="Myriad Pro" w:eastAsia="+mn-ea" w:hAnsi="Myriad Pro" w:cs="+mn-cs"/>
              <w:b/>
              <w:bCs/>
              <w:color w:val="D99694"/>
              <w:sz w:val="72"/>
              <w:szCs w:val="72"/>
              <w:lang w:val="en-GB" w:eastAsia="es-ES"/>
            </w:rPr>
          </w:pPr>
          <w:r>
            <w:rPr>
              <w:rFonts w:ascii="Myriad Pro" w:hAnsi="Myriad Pro"/>
              <w:bCs/>
              <w:color w:val="002060"/>
              <w:sz w:val="56"/>
              <w:szCs w:val="56"/>
              <w:lang w:val="en-GB" w:eastAsia="es-ES"/>
            </w:rPr>
            <w:t>Use of complementary currencies (CM), including a focus on the use of the legal figure of electronic money (EM), for co-production in public-private partnerships with agents of the social and solidarity economy</w:t>
          </w:r>
          <w:r w:rsidR="000F6B0D">
            <w:rPr>
              <w:rFonts w:ascii="Myriad Pro" w:hAnsi="Myriad Pro"/>
              <w:bCs/>
              <w:color w:val="002060"/>
              <w:sz w:val="56"/>
              <w:szCs w:val="56"/>
              <w:lang w:val="en-GB" w:eastAsia="es-ES"/>
            </w:rPr>
            <w:t>, Spain</w:t>
          </w:r>
        </w:p>
        <w:p w:rsidR="00444367" w:rsidRDefault="00FC38B5">
          <w:pPr>
            <w:spacing w:line="240" w:lineRule="auto"/>
            <w:jc w:val="center"/>
            <w:rPr>
              <w:rFonts w:ascii="Myriad Pro" w:eastAsia="+mn-ea" w:hAnsi="Myriad Pro" w:cs="+mn-cs"/>
              <w:b/>
              <w:bCs/>
              <w:color w:val="D99694"/>
              <w:sz w:val="56"/>
              <w:szCs w:val="72"/>
              <w:lang w:val="en-GB" w:eastAsia="es-ES"/>
            </w:rPr>
          </w:pPr>
          <w:r>
            <w:rPr>
              <w:rFonts w:ascii="Myriad Pro" w:eastAsia="+mn-ea" w:hAnsi="Myriad Pro" w:cs="+mn-cs"/>
              <w:bCs/>
              <w:color w:val="D99694"/>
              <w:sz w:val="56"/>
              <w:szCs w:val="72"/>
              <w:lang w:val="en-GB" w:eastAsia="es-ES"/>
            </w:rPr>
            <w:t>MedTOWN Project</w:t>
          </w:r>
        </w:p>
        <w:p w:rsidR="00444367" w:rsidRDefault="00FC38B5">
          <w:pPr>
            <w:spacing w:after="240" w:line="240" w:lineRule="auto"/>
            <w:jc w:val="center"/>
            <w:rPr>
              <w:rFonts w:ascii="Myriad Pro" w:hAnsi="Myriad Pro"/>
              <w:b/>
              <w:sz w:val="24"/>
              <w:szCs w:val="24"/>
              <w:lang w:val="en-GB"/>
            </w:rPr>
          </w:pPr>
          <w:r>
            <w:rPr>
              <w:rFonts w:ascii="Myriad Pro" w:eastAsia="+mn-ea" w:hAnsi="Myriad Pro" w:cs="+mn-cs"/>
              <w:bCs/>
              <w:iCs/>
              <w:color w:val="80181F"/>
              <w:sz w:val="40"/>
              <w:szCs w:val="40"/>
              <w:lang w:val="en-GB" w:eastAsia="es-ES"/>
            </w:rPr>
            <w:t>Co-production of social policies with</w:t>
          </w:r>
          <w:r>
            <w:rPr>
              <w:rFonts w:ascii="Myriad Pro" w:eastAsia="+mn-ea" w:hAnsi="Myriad Pro" w:cs="+mn-cs"/>
              <w:bCs/>
              <w:iCs/>
              <w:color w:val="80181F"/>
              <w:sz w:val="40"/>
              <w:szCs w:val="40"/>
              <w:lang w:val="en-GB" w:eastAsia="es-ES"/>
            </w:rPr>
            <w:br/>
            <w:t>social and solidarity economy actors to fight poverty, inequality and social exclusion</w:t>
          </w:r>
        </w:p>
        <w:p w:rsidR="00444367" w:rsidRPr="00A6035D" w:rsidRDefault="00444367">
          <w:pPr>
            <w:spacing w:line="240" w:lineRule="auto"/>
            <w:jc w:val="center"/>
            <w:rPr>
              <w:lang w:val="en-GB"/>
            </w:rPr>
          </w:pPr>
          <w:bookmarkStart w:id="0" w:name="_GoBack"/>
          <w:bookmarkEnd w:id="0"/>
        </w:p>
        <w:p w:rsidR="00444367" w:rsidRPr="00A6035D" w:rsidRDefault="00444367">
          <w:pPr>
            <w:spacing w:after="0" w:line="240" w:lineRule="auto"/>
            <w:jc w:val="both"/>
            <w:rPr>
              <w:rFonts w:ascii="SegoeUI" w:hAnsi="SegoeUI" w:cs="SegoeUI"/>
              <w:color w:val="C46E73"/>
              <w:sz w:val="18"/>
              <w:szCs w:val="20"/>
              <w:lang w:val="en-GB"/>
            </w:rPr>
          </w:pPr>
        </w:p>
        <w:p w:rsidR="00444367" w:rsidRDefault="00FC38B5">
          <w:pPr>
            <w:rPr>
              <w:b/>
              <w:bCs/>
              <w:sz w:val="24"/>
              <w:szCs w:val="24"/>
            </w:rPr>
            <w:sectPr w:rsidR="00444367">
              <w:headerReference w:type="default" r:id="rId7"/>
              <w:footerReference w:type="default" r:id="rId8"/>
              <w:pgSz w:w="16838" w:h="11906" w:orient="landscape"/>
              <w:pgMar w:top="1134" w:right="1134" w:bottom="1701" w:left="1134" w:header="709" w:footer="709" w:gutter="0"/>
              <w:cols w:space="720"/>
              <w:formProt w:val="0"/>
              <w:docGrid w:linePitch="360" w:charSpace="-2049"/>
            </w:sectPr>
          </w:pPr>
          <w:r>
            <w:rPr>
              <w:b/>
              <w:bCs/>
              <w:noProof/>
              <w:sz w:val="24"/>
              <w:szCs w:val="24"/>
              <w:lang w:eastAsia="es-ES"/>
            </w:rPr>
            <mc:AlternateContent>
              <mc:Choice Requires="wpg">
                <w:drawing>
                  <wp:anchor distT="0" distB="0" distL="114300" distR="114300" simplePos="0" relativeHeight="2" behindDoc="0" locked="0" layoutInCell="1" allowOverlap="1" wp14:anchorId="10135F3E">
                    <wp:simplePos x="0" y="0"/>
                    <wp:positionH relativeFrom="margin">
                      <wp:posOffset>-671830</wp:posOffset>
                    </wp:positionH>
                    <wp:positionV relativeFrom="paragraph">
                      <wp:posOffset>1513205</wp:posOffset>
                    </wp:positionV>
                    <wp:extent cx="6768130" cy="432242"/>
                    <wp:effectExtent l="0" t="0" r="0" b="6350"/>
                    <wp:wrapNone/>
                    <wp:docPr id="1" name="2 Grupo"/>
                    <wp:cNvGraphicFramePr/>
                    <a:graphic xmlns:a="http://schemas.openxmlformats.org/drawingml/2006/main">
                      <a:graphicData uri="http://schemas.microsoft.com/office/word/2010/wordprocessingGroup">
                        <wpg:wgp>
                          <wpg:cNvGrpSpPr/>
                          <wpg:grpSpPr>
                            <a:xfrm>
                              <a:off x="0" y="0"/>
                              <a:ext cx="6768130" cy="432242"/>
                              <a:chOff x="0" y="0"/>
                              <a:chExt cx="6768130" cy="432242"/>
                            </a:xfrm>
                          </wpg:grpSpPr>
                          <wpg:grpSp>
                            <wpg:cNvPr id="2" name="Grupo 2"/>
                            <wpg:cNvGrpSpPr/>
                            <wpg:grpSpPr>
                              <a:xfrm>
                                <a:off x="4265280" y="5040"/>
                                <a:ext cx="1343160" cy="255240"/>
                                <a:chOff x="0" y="0"/>
                                <a:chExt cx="0" cy="0"/>
                              </a:xfrm>
                            </wpg:grpSpPr>
                            <pic:pic xmlns:pic="http://schemas.openxmlformats.org/drawingml/2006/picture">
                              <pic:nvPicPr>
                                <pic:cNvPr id="6" name="Picture 2"/>
                                <pic:cNvPicPr/>
                              </pic:nvPicPr>
                              <pic:blipFill>
                                <a:blip r:embed="rId9"/>
                                <a:stretch/>
                              </pic:blipFill>
                              <pic:spPr>
                                <a:xfrm>
                                  <a:off x="0" y="0"/>
                                  <a:ext cx="284400" cy="255240"/>
                                </a:xfrm>
                                <a:prstGeom prst="rect">
                                  <a:avLst/>
                                </a:prstGeom>
                                <a:ln>
                                  <a:noFill/>
                                </a:ln>
                              </pic:spPr>
                            </pic:pic>
                            <pic:pic xmlns:pic="http://schemas.openxmlformats.org/drawingml/2006/picture">
                              <pic:nvPicPr>
                                <pic:cNvPr id="7" name="Picture 3"/>
                                <pic:cNvPicPr/>
                              </pic:nvPicPr>
                              <pic:blipFill>
                                <a:blip r:embed="rId10"/>
                                <a:stretch/>
                              </pic:blipFill>
                              <pic:spPr>
                                <a:xfrm>
                                  <a:off x="353160" y="0"/>
                                  <a:ext cx="284400" cy="255240"/>
                                </a:xfrm>
                                <a:prstGeom prst="rect">
                                  <a:avLst/>
                                </a:prstGeom>
                                <a:ln>
                                  <a:noFill/>
                                </a:ln>
                              </pic:spPr>
                            </pic:pic>
                            <pic:pic xmlns:pic="http://schemas.openxmlformats.org/drawingml/2006/picture">
                              <pic:nvPicPr>
                                <pic:cNvPr id="8" name="Picture 5"/>
                                <pic:cNvPicPr/>
                              </pic:nvPicPr>
                              <pic:blipFill>
                                <a:blip r:embed="rId11"/>
                                <a:stretch/>
                              </pic:blipFill>
                              <pic:spPr>
                                <a:xfrm>
                                  <a:off x="705600" y="0"/>
                                  <a:ext cx="285120" cy="255240"/>
                                </a:xfrm>
                                <a:prstGeom prst="rect">
                                  <a:avLst/>
                                </a:prstGeom>
                                <a:ln>
                                  <a:noFill/>
                                </a:ln>
                              </pic:spPr>
                            </pic:pic>
                            <pic:pic xmlns:pic="http://schemas.openxmlformats.org/drawingml/2006/picture">
                              <pic:nvPicPr>
                                <pic:cNvPr id="9" name="Picture 6"/>
                                <pic:cNvPicPr/>
                              </pic:nvPicPr>
                              <pic:blipFill>
                                <a:blip r:embed="rId12"/>
                                <a:stretch/>
                              </pic:blipFill>
                              <pic:spPr>
                                <a:xfrm>
                                  <a:off x="1058400" y="0"/>
                                  <a:ext cx="284400" cy="255240"/>
                                </a:xfrm>
                                <a:prstGeom prst="rect">
                                  <a:avLst/>
                                </a:prstGeom>
                                <a:ln>
                                  <a:noFill/>
                                </a:ln>
                              </pic:spPr>
                            </pic:pic>
                          </wpg:grpSp>
                          <pic:pic xmlns:pic="http://schemas.openxmlformats.org/drawingml/2006/picture">
                            <pic:nvPicPr>
                              <pic:cNvPr id="10" name="Picture 7"/>
                              <pic:cNvPicPr/>
                            </pic:nvPicPr>
                            <pic:blipFill>
                              <a:blip r:embed="rId13"/>
                              <a:stretch/>
                            </pic:blipFill>
                            <pic:spPr>
                              <a:xfrm>
                                <a:off x="2593440" y="5040"/>
                                <a:ext cx="284400" cy="255240"/>
                              </a:xfrm>
                              <a:prstGeom prst="rect">
                                <a:avLst/>
                              </a:prstGeom>
                              <a:ln>
                                <a:noFill/>
                              </a:ln>
                            </pic:spPr>
                          </pic:pic>
                          <pic:pic xmlns:pic="http://schemas.openxmlformats.org/drawingml/2006/picture">
                            <pic:nvPicPr>
                              <pic:cNvPr id="11" name="Picture 9"/>
                              <pic:cNvPicPr/>
                            </pic:nvPicPr>
                            <pic:blipFill>
                              <a:blip r:embed="rId14"/>
                              <a:stretch/>
                            </pic:blipFill>
                            <pic:spPr>
                              <a:xfrm>
                                <a:off x="0" y="0"/>
                                <a:ext cx="284400" cy="255240"/>
                              </a:xfrm>
                              <a:prstGeom prst="rect">
                                <a:avLst/>
                              </a:prstGeom>
                              <a:ln>
                                <a:noFill/>
                              </a:ln>
                            </pic:spPr>
                          </pic:pic>
                          <wps:wsp>
                            <wps:cNvPr id="12" name="Rectángulo 12"/>
                            <wps:cNvSpPr/>
                            <wps:spPr>
                              <a:xfrm>
                                <a:off x="5542920" y="37440"/>
                                <a:ext cx="1225210" cy="229700"/>
                              </a:xfrm>
                              <a:prstGeom prst="rect">
                                <a:avLst/>
                              </a:prstGeom>
                              <a:noFill/>
                              <a:ln>
                                <a:noFill/>
                              </a:ln>
                            </wps:spPr>
                            <wps:style>
                              <a:lnRef idx="0">
                                <a:scrgbClr r="0" g="0" b="0"/>
                              </a:lnRef>
                              <a:fillRef idx="0">
                                <a:scrgbClr r="0" g="0" b="0"/>
                              </a:fillRef>
                              <a:effectRef idx="0">
                                <a:scrgbClr r="0" g="0" b="0"/>
                              </a:effectRef>
                              <a:fontRef idx="minor"/>
                            </wps:style>
                            <wps:txbx>
                              <w:txbxContent>
                                <w:p w:rsidR="00444367" w:rsidRDefault="00FC38B5">
                                  <w:pPr>
                                    <w:overflowPunct w:val="0"/>
                                    <w:spacing w:after="0" w:line="240" w:lineRule="auto"/>
                                  </w:pPr>
                                  <w:r>
                                    <w:rPr>
                                      <w:color w:val="C36E73"/>
                                      <w:sz w:val="18"/>
                                      <w:szCs w:val="18"/>
                                    </w:rPr>
                                    <w:t>@medtownproject</w:t>
                                  </w:r>
                                </w:p>
                              </w:txbxContent>
                            </wps:txbx>
                            <wps:bodyPr lIns="90000" tIns="45000" rIns="90000" bIns="45000">
                              <a:spAutoFit/>
                            </wps:bodyPr>
                          </wps:wsp>
                          <wps:wsp>
                            <wps:cNvPr id="13" name="Rectángulo 13"/>
                            <wps:cNvSpPr/>
                            <wps:spPr>
                              <a:xfrm>
                                <a:off x="2888640" y="37440"/>
                                <a:ext cx="1246680" cy="205920"/>
                              </a:xfrm>
                              <a:prstGeom prst="rect">
                                <a:avLst/>
                              </a:prstGeom>
                              <a:noFill/>
                              <a:ln>
                                <a:noFill/>
                              </a:ln>
                            </wps:spPr>
                            <wps:style>
                              <a:lnRef idx="0">
                                <a:scrgbClr r="0" g="0" b="0"/>
                              </a:lnRef>
                              <a:fillRef idx="0">
                                <a:scrgbClr r="0" g="0" b="0"/>
                              </a:fillRef>
                              <a:effectRef idx="0">
                                <a:scrgbClr r="0" g="0" b="0"/>
                              </a:effectRef>
                              <a:fontRef idx="minor"/>
                            </wps:style>
                            <wps:bodyPr/>
                          </wps:wsp>
                          <wps:wsp>
                            <wps:cNvPr id="14" name="Rectángulo 14"/>
                            <wps:cNvSpPr/>
                            <wps:spPr>
                              <a:xfrm>
                                <a:off x="514417" y="32362"/>
                                <a:ext cx="1728765" cy="399880"/>
                              </a:xfrm>
                              <a:prstGeom prst="rect">
                                <a:avLst/>
                              </a:prstGeom>
                              <a:noFill/>
                              <a:ln>
                                <a:noFill/>
                              </a:ln>
                            </wps:spPr>
                            <wps:style>
                              <a:lnRef idx="0">
                                <a:scrgbClr r="0" g="0" b="0"/>
                              </a:lnRef>
                              <a:fillRef idx="0">
                                <a:scrgbClr r="0" g="0" b="0"/>
                              </a:fillRef>
                              <a:effectRef idx="0">
                                <a:scrgbClr r="0" g="0" b="0"/>
                              </a:effectRef>
                              <a:fontRef idx="minor"/>
                            </wps:style>
                            <wps:txbx>
                              <w:txbxContent>
                                <w:p w:rsidR="00444367" w:rsidRDefault="00444367">
                                  <w:pPr>
                                    <w:overflowPunct w:val="0"/>
                                    <w:spacing w:after="0" w:line="240" w:lineRule="auto"/>
                                  </w:pPr>
                                </w:p>
                                <w:p w:rsidR="00444367" w:rsidRDefault="00FC38B5">
                                  <w:pPr>
                                    <w:overflowPunct w:val="0"/>
                                    <w:spacing w:after="0" w:line="240" w:lineRule="auto"/>
                                  </w:pPr>
                                  <w:proofErr w:type="spellStart"/>
                                  <w:r>
                                    <w:rPr>
                                      <w:b/>
                                      <w:bCs/>
                                      <w:color w:val="C36E73"/>
                                      <w:sz w:val="18"/>
                                      <w:szCs w:val="18"/>
                                    </w:rPr>
                                    <w:t>Community</w:t>
                                  </w:r>
                                  <w:proofErr w:type="spellEnd"/>
                                  <w:r>
                                    <w:rPr>
                                      <w:b/>
                                      <w:bCs/>
                                      <w:color w:val="C36E73"/>
                                      <w:sz w:val="18"/>
                                      <w:szCs w:val="18"/>
                                    </w:rPr>
                                    <w:t xml:space="preserve"> of </w:t>
                                  </w:r>
                                  <w:proofErr w:type="spellStart"/>
                                  <w:r>
                                    <w:rPr>
                                      <w:b/>
                                      <w:bCs/>
                                      <w:color w:val="C36E73"/>
                                      <w:sz w:val="18"/>
                                      <w:szCs w:val="18"/>
                                    </w:rPr>
                                    <w:t>Practice</w:t>
                                  </w:r>
                                  <w:proofErr w:type="spellEnd"/>
                                  <w:r>
                                    <w:rPr>
                                      <w:b/>
                                      <w:bCs/>
                                      <w:color w:val="C36E73"/>
                                      <w:sz w:val="18"/>
                                      <w:szCs w:val="18"/>
                                    </w:rPr>
                                    <w:t xml:space="preserve">: </w:t>
                                  </w:r>
                                </w:p>
                              </w:txbxContent>
                            </wps:txbx>
                            <wps:bodyPr lIns="90000" tIns="45000" rIns="90000" bIns="45000">
                              <a:spAutoFit/>
                            </wps:bodyPr>
                          </wps:wsp>
                        </wpg:wgp>
                      </a:graphicData>
                    </a:graphic>
                  </wp:anchor>
                </w:drawing>
              </mc:Choice>
              <mc:Fallback>
                <w:pict>
                  <v:group w14:anchorId="10135F3E" id="2 Grupo" o:spid="_x0000_s1026" style="position:absolute;margin-left:-52.9pt;margin-top:119.15pt;width:532.9pt;height:34.05pt;z-index:2;mso-position-horizontal-relative:margin" coordsize="67681,43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">
                    <v:group id="Grupo 2" o:spid="_x0000_s1027" style="position:absolute;left:42652;top:50;width:13432;height:2552"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284400;height:255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1KQHEAAAA2gAAAA8AAABkcnMvZG93bnJldi54bWxEj0FrwkAUhO8F/8PyBC9SN1qINbqKCIII&#10;FtT24O2RfWaD2bchu8b477uFgsdhZr5hFqvOVqKlxpeOFYxHCQji3OmSCwXf5+37JwgfkDVWjknB&#10;kzyslr23BWbaPfhI7SkUIkLYZ6jAhFBnUvrckEU/cjVx9K6usRiibAqpG3xEuK3kJElSabHkuGCw&#10;po2h/Ha6WwWH4Vc6KeX+4zKjZGoOw59jexsrNeh36zmIQF14hf/bO60ghb8r8QbI5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L1KQHEAAAA2gAAAA8AAAAAAAAAAAAAAAAA&#10;nwIAAGRycy9kb3ducmV2LnhtbFBLBQYAAAAABAAEAPcAAACQAwAAAAA=&#10;">
                        <v:imagedata r:id="rId15" o:title=""/>
                      </v:shape>
                      <v:shape id="Picture 3" o:spid="_x0000_s1029" type="#_x0000_t75" style="position:absolute;left:353160;width:284400;height:255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DdD7BAAAA2gAAAA8AAABkcnMvZG93bnJldi54bWxEj0GLwjAUhO/C/ofwBG+a6kGla5RFEPYg&#10;irYHj4/kbdu1eSlNtPXfG0HwOMzMN8xq09ta3Kn1lWMF00kCglg7U3GhIM924yUIH5AN1o5JwYM8&#10;bNZfgxWmxnV8ovs5FCJC2KeooAyhSaX0uiSLfuIa4uj9udZiiLItpGmxi3Bby1mSzKXFiuNCiQ1t&#10;S9LX880q0O6Y6dl1m3S0218Ol/w/f8wzpUbD/ucbRKA+fMLv9q9RsIDXlXgD5P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jDdD7BAAAA2gAAAA8AAAAAAAAAAAAAAAAAnwIA&#10;AGRycy9kb3ducmV2LnhtbFBLBQYAAAAABAAEAPcAAACNAwAAAAA=&#10;">
                        <v:imagedata r:id="rId16" o:title=""/>
                      </v:shape>
                      <v:shape id="Picture 5" o:spid="_x0000_s1030" type="#_x0000_t75" style="position:absolute;left:705600;width:285120;height:255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YQ8K/AAAA2gAAAA8AAABkcnMvZG93bnJldi54bWxET02LwjAQvQv+hzDC3jSxsItWo6ggyK4X&#10;q+h1aMa22kxKE7X7781hYY+P9z1fdrYWT2p95VjDeKRAEOfOVFxoOB23wwkIH5AN1o5Jwy95WC76&#10;vTmmxr34QM8sFCKGsE9RQxlCk0rp85Is+pFriCN3da3FEGFbSNPiK4bbWiZKfUmLFceGEhvalJTf&#10;s4fVsE9+mkv+ff28ufq+UmubTFVx1vpj0K1mIAJ14V/8594ZDXFrvBJvgFy8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UWEPCvwAAANoAAAAPAAAAAAAAAAAAAAAAAJ8CAABk&#10;cnMvZG93bnJldi54bWxQSwUGAAAAAAQABAD3AAAAiwMAAAAA&#10;">
                        <v:imagedata r:id="rId17" o:title=""/>
                      </v:shape>
                      <v:shape id="Picture 6" o:spid="_x0000_s1031" type="#_x0000_t75" style="position:absolute;left:1058400;width:284400;height:255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rV4HDAAAA2gAAAA8AAABkcnMvZG93bnJldi54bWxEj0FrwkAUhO+F/oflFXqrm/agbXQjrSB4&#10;Kmrq/Zl9yUazb0N2TdL+elcoeBxm5htmsRxtI3rqfO1YweskAUFcOF1zpeAnX7+8g/ABWWPjmBT8&#10;kodl9viwwFS7gXfU70MlIoR9igpMCG0qpS8MWfQT1xJHr3SdxRBlV0nd4RDhtpFvSTKVFmuOCwZb&#10;WhkqzvuLVfDVl8fBmu3pMMvdlvuQr77Pf0o9P42fcxCBxnAP/7c3WsEH3K7EGyCzK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GtXgcMAAADaAAAADwAAAAAAAAAAAAAAAACf&#10;AgAAZHJzL2Rvd25yZXYueG1sUEsFBgAAAAAEAAQA9wAAAI8DAAAAAA==&#10;">
                        <v:imagedata r:id="rId18" o:title=""/>
                      </v:shape>
                    </v:group>
                    <v:shape id="Picture 7" o:spid="_x0000_s1032" type="#_x0000_t75" style="position:absolute;left:25934;top:50;width:2844;height:25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Mk6bEAAAA2wAAAA8AAABkcnMvZG93bnJldi54bWxEj0FrwkAQhe8F/8MyQi+l2aigJXUVEQS9&#10;qS1Rb0N2mgSzsyG71fjvO4eCtxnem/e+mS9716gbdaH2bGCUpKCIC29rLg18f23eP0CFiGyx8UwG&#10;HhRguRi8zDGz/s4Huh1jqSSEQ4YGqhjbTOtQVOQwJL4lFu3Hdw6jrF2pbYd3CXeNHqfpVDusWRoq&#10;bGldUXE9/joD+Q77NPfnfd6+XWZ2cqi349PamNdhv/oEFamPT/P/9dYKvtDLLzKAXv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fMk6bEAAAA2wAAAA8AAAAAAAAAAAAAAAAA&#10;nwIAAGRycy9kb3ducmV2LnhtbFBLBQYAAAAABAAEAPcAAACQAwAAAAA=&#10;">
                      <v:imagedata r:id="rId19" o:title=""/>
                    </v:shape>
                    <v:shape id="Picture 9" o:spid="_x0000_s1033" type="#_x0000_t75" style="position:absolute;width:2844;height:25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Bh7AAAAA2wAAAA8AAABkcnMvZG93bnJldi54bWxET01rwkAQvRf8D8sIvdWNQqVGVxFB6aGX&#10;poLXITsmabOzITu6aX99VxC8zeN9zmozuFZdqQ+NZwPTSQaKuPS24crA8Wv/8gYqCLLF1jMZ+KUA&#10;m/XoaYW59ZE/6VpIpVIIhxwN1CJdrnUoa3IYJr4jTtzZ9w4lwb7StseYwl2rZ1k21w4bTg01drSr&#10;qfwpLs7AieLH6+mAlyh/23343tlFLMSY5/GwXYISGuQhvrvfbZo/hdsv6QC9/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IUGHsAAAADbAAAADwAAAAAAAAAAAAAAAACfAgAA&#10;ZHJzL2Rvd25yZXYueG1sUEsFBgAAAAAEAAQA9wAAAIwDAAAAAA==&#10;">
                      <v:imagedata r:id="rId20" o:title=""/>
                    </v:shape>
                    <v:rect id="Rectángulo 12" o:spid="_x0000_s1034" style="position:absolute;left:55429;top:374;width:12252;height:2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7oK8EA&#10;AADbAAAADwAAAGRycy9kb3ducmV2LnhtbERP22rCQBB9L/gPyxT6Zja1WjR1FbWIEXyolw8YstNs&#10;MDsbsluNf+8KQt/mcK4znXe2FhdqfeVYwXuSgiAunK64VHA6rvtjED4ga6wdk4IbeZjPei9TzLS7&#10;8p4uh1CKGMI+QwUmhCaT0heGLPrENcSR+3WtxRBhW0rd4jWG21oO0vRTWqw4NhhsaGWoOB/+rILN&#10;bpiPlt/5ZuvJ/ARuJuePeqLU22u3+AIRqAv/4qc713H+AB6/xAP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u6CvBAAAA2wAAAA8AAAAAAAAAAAAAAAAAmAIAAGRycy9kb3du&#10;cmV2LnhtbFBLBQYAAAAABAAEAPUAAACGAwAAAAA=&#10;" filled="f" stroked="f">
                      <v:textbox style="mso-fit-shape-to-text:t" inset="2.5mm,1.25mm,2.5mm,1.25mm">
                        <w:txbxContent>
                          <w:p w:rsidR="00444367" w:rsidRDefault="00FC38B5">
                            <w:pPr>
                              <w:overflowPunct w:val="0"/>
                              <w:spacing w:after="0" w:line="240" w:lineRule="auto"/>
                            </w:pPr>
                            <w:r>
                              <w:rPr>
                                <w:color w:val="C36E73"/>
                                <w:sz w:val="18"/>
                                <w:szCs w:val="18"/>
                              </w:rPr>
                              <w:t>@medtownproject</w:t>
                            </w:r>
                          </w:p>
                        </w:txbxContent>
                      </v:textbox>
                    </v:rect>
                    <v:rect id="Rectángulo 13" o:spid="_x0000_s1035" style="position:absolute;left:28886;top:374;width:12467;height:2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paMIA&#10;AADbAAAADwAAAGRycy9kb3ducmV2LnhtbERPTWvCQBC9C/6HZYReRDetI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mlowgAAANsAAAAPAAAAAAAAAAAAAAAAAJgCAABkcnMvZG93&#10;bnJldi54bWxQSwUGAAAAAAQABAD1AAAAhwMAAAAA&#10;" filled="f" stroked="f"/>
                    <v:rect id="Rectángulo 14" o:spid="_x0000_s1036" style="position:absolute;left:5144;top:323;width:17287;height:3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vVxMEA&#10;AADbAAAADwAAAGRycy9kb3ducmV2LnhtbERP22rCQBB9L/gPywh9MxvrBY2uYi3FFPrg7QOG7JgN&#10;ZmdDdqvp33cFoW9zONdZrjtbixu1vnKsYJikIIgLpysuFZxPn4MZCB+QNdaOScEveVivei9LzLS7&#10;84Fux1CKGMI+QwUmhCaT0heGLPrENcSRu7jWYoiwLaVu8R7DbS3f0nQqLVYcGww2tDVUXI8/VsHu&#10;e5xP3j/y3Zcnsw/czK+jeq7Ua7/bLEAE6sK/+OnOdZw/hscv8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L1cTBAAAA2wAAAA8AAAAAAAAAAAAAAAAAmAIAAGRycy9kb3du&#10;cmV2LnhtbFBLBQYAAAAABAAEAPUAAACGAwAAAAA=&#10;" filled="f" stroked="f">
                      <v:textbox style="mso-fit-shape-to-text:t" inset="2.5mm,1.25mm,2.5mm,1.25mm">
                        <w:txbxContent>
                          <w:p w:rsidR="00444367" w:rsidRDefault="00444367">
                            <w:pPr>
                              <w:overflowPunct w:val="0"/>
                              <w:spacing w:after="0" w:line="240" w:lineRule="auto"/>
                            </w:pPr>
                          </w:p>
                          <w:p w:rsidR="00444367" w:rsidRDefault="00FC38B5">
                            <w:pPr>
                              <w:overflowPunct w:val="0"/>
                              <w:spacing w:after="0" w:line="240" w:lineRule="auto"/>
                            </w:pPr>
                            <w:proofErr w:type="spellStart"/>
                            <w:r>
                              <w:rPr>
                                <w:b/>
                                <w:bCs/>
                                <w:color w:val="C36E73"/>
                                <w:sz w:val="18"/>
                                <w:szCs w:val="18"/>
                              </w:rPr>
                              <w:t>Community</w:t>
                            </w:r>
                            <w:proofErr w:type="spellEnd"/>
                            <w:r>
                              <w:rPr>
                                <w:b/>
                                <w:bCs/>
                                <w:color w:val="C36E73"/>
                                <w:sz w:val="18"/>
                                <w:szCs w:val="18"/>
                              </w:rPr>
                              <w:t xml:space="preserve"> of </w:t>
                            </w:r>
                            <w:proofErr w:type="spellStart"/>
                            <w:r>
                              <w:rPr>
                                <w:b/>
                                <w:bCs/>
                                <w:color w:val="C36E73"/>
                                <w:sz w:val="18"/>
                                <w:szCs w:val="18"/>
                              </w:rPr>
                              <w:t>Practice</w:t>
                            </w:r>
                            <w:proofErr w:type="spellEnd"/>
                            <w:r>
                              <w:rPr>
                                <w:b/>
                                <w:bCs/>
                                <w:color w:val="C36E73"/>
                                <w:sz w:val="18"/>
                                <w:szCs w:val="18"/>
                              </w:rPr>
                              <w:t xml:space="preserve">: </w:t>
                            </w:r>
                          </w:p>
                        </w:txbxContent>
                      </v:textbox>
                    </v:rect>
                    <w10:wrap anchorx="margin"/>
                  </v:group>
                </w:pict>
              </mc:Fallback>
            </mc:AlternateContent>
          </w:r>
          <w:r>
            <w:rPr>
              <w:b/>
              <w:bCs/>
              <w:noProof/>
              <w:sz w:val="24"/>
              <w:szCs w:val="24"/>
              <w:lang w:eastAsia="es-ES"/>
            </w:rPr>
            <w:drawing>
              <wp:anchor distT="0" distB="6985" distL="114300" distR="121920" simplePos="0" relativeHeight="3" behindDoc="0" locked="0" layoutInCell="1" allowOverlap="1">
                <wp:simplePos x="0" y="0"/>
                <wp:positionH relativeFrom="margin">
                  <wp:align>center</wp:align>
                </wp:positionH>
                <wp:positionV relativeFrom="paragraph">
                  <wp:posOffset>313690</wp:posOffset>
                </wp:positionV>
                <wp:extent cx="6621780" cy="583565"/>
                <wp:effectExtent l="0" t="0" r="0" b="0"/>
                <wp:wrapNone/>
                <wp:docPr id="15"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87" descr="C:\Users\MedTOWN #3\AppData\Local\Microsoft\Windows\INetCache\Content.Word\MedTOWN Logos partners together_All.png"/>
                        <pic:cNvPicPr>
                          <a:picLocks noChangeAspect="1" noChangeArrowheads="1"/>
                        </pic:cNvPicPr>
                      </pic:nvPicPr>
                      <pic:blipFill>
                        <a:blip r:embed="rId21"/>
                        <a:stretch>
                          <a:fillRect/>
                        </a:stretch>
                      </pic:blipFill>
                      <pic:spPr bwMode="auto">
                        <a:xfrm>
                          <a:off x="0" y="0"/>
                          <a:ext cx="6621780" cy="583565"/>
                        </a:xfrm>
                        <a:prstGeom prst="rect">
                          <a:avLst/>
                        </a:prstGeom>
                      </pic:spPr>
                    </pic:pic>
                  </a:graphicData>
                </a:graphic>
              </wp:anchor>
            </w:drawing>
          </w:r>
        </w:p>
      </w:sdtContent>
    </w:sdt>
    <w:p w:rsidR="00444367" w:rsidRPr="000F6B0D" w:rsidRDefault="00FC38B5">
      <w:pPr>
        <w:rPr>
          <w:rFonts w:ascii="Segoe UI" w:hAnsi="Segoe UI" w:cs="Segoe UI"/>
          <w:b/>
          <w:bCs/>
          <w:lang w:val="en-GB"/>
        </w:rPr>
      </w:pPr>
      <w:r w:rsidRPr="000F6B0D">
        <w:rPr>
          <w:rFonts w:ascii="Segoe UI" w:hAnsi="Segoe UI" w:cs="Segoe UI"/>
          <w:b/>
          <w:bCs/>
          <w:lang w:val="en-GB"/>
        </w:rPr>
        <w:lastRenderedPageBreak/>
        <w:t>QUESTIONNAIRE PHASES PROJECTS AND LOCAL PARTNERS. MEDTOWN PROJECT. LOT 3.</w:t>
      </w:r>
    </w:p>
    <w:p w:rsidR="00444367" w:rsidRPr="000F6B0D" w:rsidRDefault="00FC38B5">
      <w:pPr>
        <w:rPr>
          <w:lang w:val="en-GB"/>
        </w:rPr>
      </w:pPr>
      <w:r w:rsidRPr="000F6B0D">
        <w:rPr>
          <w:rFonts w:ascii="Segoe UI" w:hAnsi="Segoe UI" w:cs="Segoe UI"/>
          <w:b/>
          <w:bCs/>
          <w:u w:val="single"/>
          <w:lang w:val="en-GB"/>
        </w:rPr>
        <w:t>DEMONSTRATIVE ACTION. NAME: Complementary Public Local Currency for the Channelling of Social Benefits to low income population</w:t>
      </w:r>
      <w:r>
        <w:rPr>
          <w:rFonts w:ascii="Segoe UI" w:hAnsi="Segoe UI" w:cs="Segoe UI"/>
          <w:b/>
          <w:bCs/>
          <w:lang w:val="en-GB"/>
        </w:rPr>
        <w:t xml:space="preserve"> </w:t>
      </w:r>
    </w:p>
    <w:p w:rsidR="00444367" w:rsidRPr="000F6B0D" w:rsidRDefault="00FC38B5">
      <w:pPr>
        <w:rPr>
          <w:lang w:val="en-GB"/>
        </w:rPr>
      </w:pPr>
      <w:r w:rsidRPr="000F6B0D">
        <w:rPr>
          <w:rFonts w:ascii="Segoe UI" w:hAnsi="Segoe UI" w:cs="Segoe UI"/>
          <w:b/>
          <w:bCs/>
          <w:u w:val="single"/>
          <w:lang w:val="en-GB"/>
        </w:rPr>
        <w:t xml:space="preserve">MUNICIPALITY, REGION AND COUNTRY </w:t>
      </w:r>
      <w:r w:rsidRPr="000F6B0D">
        <w:rPr>
          <w:rFonts w:ascii="Segoe UI" w:hAnsi="Segoe UI" w:cs="Segoe UI"/>
          <w:b/>
          <w:bCs/>
          <w:lang w:val="en-GB"/>
        </w:rPr>
        <w:t xml:space="preserve">ACTION: </w:t>
      </w:r>
      <w:r>
        <w:rPr>
          <w:rFonts w:ascii="Segoe UI" w:hAnsi="Segoe UI" w:cs="Segoe UI"/>
          <w:b/>
          <w:bCs/>
          <w:lang w:val="en-GB"/>
        </w:rPr>
        <w:t>Seville, Andalusia, Spain</w:t>
      </w:r>
    </w:p>
    <w:p w:rsidR="00444367" w:rsidRPr="000F6B0D" w:rsidRDefault="00444367">
      <w:pPr>
        <w:rPr>
          <w:rFonts w:ascii="Segoe UI" w:hAnsi="Segoe UI" w:cs="Segoe UI"/>
          <w:b/>
          <w:bCs/>
          <w:u w:val="single"/>
          <w:lang w:val="en-GB"/>
        </w:rPr>
      </w:pPr>
    </w:p>
    <w:p w:rsidR="00444367" w:rsidRDefault="00444367">
      <w:pPr>
        <w:rPr>
          <w:rFonts w:ascii="Segoe UI" w:hAnsi="Segoe UI" w:cs="Segoe UI"/>
          <w:b/>
          <w:bCs/>
          <w:u w:val="single"/>
          <w:lang w:val="en-GB"/>
        </w:rPr>
      </w:pPr>
    </w:p>
    <w:p w:rsidR="00444367" w:rsidRPr="000F6B0D" w:rsidRDefault="00FC38B5">
      <w:pPr>
        <w:keepNext/>
        <w:rPr>
          <w:rFonts w:ascii="Segoe UI" w:hAnsi="Segoe UI" w:cs="Segoe UI"/>
          <w:b/>
          <w:bCs/>
          <w:color w:val="80181F"/>
          <w:lang w:val="en-GB"/>
        </w:rPr>
      </w:pPr>
      <w:r w:rsidRPr="000F6B0D">
        <w:rPr>
          <w:rFonts w:ascii="Segoe UI" w:hAnsi="Segoe UI" w:cs="Segoe UI"/>
          <w:b/>
          <w:bCs/>
          <w:color w:val="80181F"/>
          <w:lang w:val="en-GB"/>
        </w:rPr>
        <w:t>BRIEF DESCRIPTION OF THE CONTEXT:</w:t>
      </w:r>
    </w:p>
    <w:p w:rsidR="00444367" w:rsidRPr="000F6B0D" w:rsidRDefault="00FC38B5">
      <w:pPr>
        <w:rPr>
          <w:lang w:val="en-GB"/>
        </w:rPr>
      </w:pPr>
      <w:r w:rsidRPr="000F6B0D">
        <w:rPr>
          <w:rFonts w:ascii="Segoe UI" w:hAnsi="Segoe UI" w:cs="Segoe UI"/>
          <w:lang w:val="en-GB"/>
        </w:rPr>
        <w:t xml:space="preserve">There is no specific regulation on the use and circulation of social and/or complementary currencies, defined as such. The context is determined by </w:t>
      </w:r>
    </w:p>
    <w:p w:rsidR="00444367" w:rsidRPr="000F6B0D" w:rsidRDefault="00444367">
      <w:pPr>
        <w:rPr>
          <w:rFonts w:ascii="Segoe UI" w:hAnsi="Segoe UI" w:cs="Segoe UI"/>
          <w:b/>
          <w:bCs/>
          <w:color w:val="80181F"/>
          <w:lang w:val="en-GB"/>
        </w:rPr>
      </w:pPr>
    </w:p>
    <w:p w:rsidR="00444367" w:rsidRDefault="00FC38B5">
      <w:pPr>
        <w:keepNext/>
        <w:rPr>
          <w:rFonts w:ascii="Segoe UI" w:hAnsi="Segoe UI" w:cs="Segoe UI"/>
          <w:b/>
          <w:bCs/>
          <w:color w:val="80181F"/>
          <w:lang w:val="en-GB"/>
        </w:rPr>
      </w:pPr>
      <w:r w:rsidRPr="000F6B0D">
        <w:rPr>
          <w:rFonts w:ascii="Segoe UI" w:hAnsi="Segoe UI" w:cs="Segoe UI"/>
          <w:b/>
          <w:bCs/>
          <w:color w:val="80181F"/>
          <w:lang w:val="en-GB"/>
        </w:rPr>
        <w:t>MATRIX TO BE FILLED IN:</w:t>
      </w:r>
    </w:p>
    <w:tbl>
      <w:tblPr>
        <w:tblStyle w:val="Tablaconcuadrcula1"/>
        <w:tblW w:w="14175" w:type="dxa"/>
        <w:tblInd w:w="-5" w:type="dxa"/>
        <w:tblCellMar>
          <w:top w:w="57" w:type="dxa"/>
          <w:left w:w="52" w:type="dxa"/>
          <w:bottom w:w="57" w:type="dxa"/>
          <w:right w:w="57" w:type="dxa"/>
        </w:tblCellMar>
        <w:tblLook w:val="04A0" w:firstRow="1" w:lastRow="0" w:firstColumn="1" w:lastColumn="0" w:noHBand="0" w:noVBand="1"/>
      </w:tblPr>
      <w:tblGrid>
        <w:gridCol w:w="510"/>
        <w:gridCol w:w="3262"/>
        <w:gridCol w:w="3660"/>
        <w:gridCol w:w="4241"/>
        <w:gridCol w:w="2502"/>
      </w:tblGrid>
      <w:tr w:rsidR="00444367">
        <w:trPr>
          <w:cantSplit/>
          <w:tblHeader/>
        </w:trPr>
        <w:tc>
          <w:tcPr>
            <w:tcW w:w="490" w:type="dxa"/>
            <w:tcBorders>
              <w:top w:val="single" w:sz="4" w:space="0" w:color="80181F"/>
              <w:left w:val="single" w:sz="4" w:space="0" w:color="80181F"/>
              <w:bottom w:val="single" w:sz="4" w:space="0" w:color="80181F"/>
              <w:right w:val="single" w:sz="4" w:space="0" w:color="80181F"/>
            </w:tcBorders>
            <w:shd w:val="clear" w:color="auto" w:fill="80181F"/>
            <w:tcMar>
              <w:left w:w="52" w:type="dxa"/>
            </w:tcMar>
            <w:vAlign w:val="center"/>
          </w:tcPr>
          <w:p w:rsidR="00444367" w:rsidRDefault="00FC38B5">
            <w:pPr>
              <w:spacing w:after="0" w:line="240" w:lineRule="auto"/>
              <w:jc w:val="center"/>
              <w:rPr>
                <w:rFonts w:ascii="Segoe UI" w:hAnsi="Segoe UI" w:cs="Segoe UI"/>
                <w:b/>
                <w:bCs/>
                <w:lang w:val="en-GB"/>
              </w:rPr>
            </w:pPr>
            <w:r>
              <w:rPr>
                <w:rFonts w:ascii="Segoe UI" w:hAnsi="Segoe UI" w:cs="Segoe UI"/>
                <w:b/>
                <w:bCs/>
              </w:rPr>
              <w:t>NO.</w:t>
            </w:r>
          </w:p>
        </w:tc>
        <w:tc>
          <w:tcPr>
            <w:tcW w:w="2914" w:type="dxa"/>
            <w:tcBorders>
              <w:top w:val="single" w:sz="4" w:space="0" w:color="80181F"/>
              <w:left w:val="single" w:sz="4" w:space="0" w:color="80181F"/>
              <w:bottom w:val="single" w:sz="4" w:space="0" w:color="80181F"/>
              <w:right w:val="single" w:sz="4" w:space="0" w:color="80181F"/>
            </w:tcBorders>
            <w:shd w:val="clear" w:color="auto" w:fill="80181F"/>
            <w:tcMar>
              <w:left w:w="52" w:type="dxa"/>
            </w:tcMar>
            <w:vAlign w:val="center"/>
          </w:tcPr>
          <w:p w:rsidR="00444367" w:rsidRDefault="00FC38B5">
            <w:pPr>
              <w:spacing w:after="0" w:line="240" w:lineRule="auto"/>
              <w:rPr>
                <w:rFonts w:ascii="Segoe UI" w:hAnsi="Segoe UI" w:cs="Segoe UI"/>
                <w:b/>
                <w:bCs/>
                <w:lang w:val="en-GB"/>
              </w:rPr>
            </w:pPr>
            <w:r>
              <w:rPr>
                <w:rFonts w:ascii="Segoe UI" w:hAnsi="Segoe UI" w:cs="Segoe UI"/>
                <w:b/>
                <w:bCs/>
              </w:rPr>
              <w:t>ASPECT TO REPORT</w:t>
            </w:r>
          </w:p>
        </w:tc>
        <w:tc>
          <w:tcPr>
            <w:tcW w:w="3847" w:type="dxa"/>
            <w:tcBorders>
              <w:top w:val="single" w:sz="4" w:space="0" w:color="80181F"/>
              <w:left w:val="single" w:sz="4" w:space="0" w:color="80181F"/>
              <w:bottom w:val="single" w:sz="4" w:space="0" w:color="80181F"/>
              <w:right w:val="single" w:sz="4" w:space="0" w:color="80181F"/>
            </w:tcBorders>
            <w:shd w:val="clear" w:color="auto" w:fill="80181F"/>
            <w:tcMar>
              <w:left w:w="52" w:type="dxa"/>
            </w:tcMar>
            <w:vAlign w:val="center"/>
          </w:tcPr>
          <w:p w:rsidR="00444367" w:rsidRDefault="00FC38B5">
            <w:pPr>
              <w:spacing w:after="0" w:line="240" w:lineRule="auto"/>
              <w:rPr>
                <w:rFonts w:ascii="Segoe UI" w:hAnsi="Segoe UI" w:cs="Segoe UI"/>
                <w:b/>
                <w:bCs/>
                <w:lang w:val="en-GB"/>
              </w:rPr>
            </w:pPr>
            <w:r>
              <w:rPr>
                <w:rFonts w:ascii="Segoe UI" w:hAnsi="Segoe UI" w:cs="Segoe UI"/>
                <w:b/>
              </w:rPr>
              <w:t>ACTIONS</w:t>
            </w:r>
          </w:p>
        </w:tc>
        <w:tc>
          <w:tcPr>
            <w:tcW w:w="4363" w:type="dxa"/>
            <w:tcBorders>
              <w:top w:val="single" w:sz="4" w:space="0" w:color="80181F"/>
              <w:left w:val="single" w:sz="4" w:space="0" w:color="80181F"/>
              <w:bottom w:val="single" w:sz="4" w:space="0" w:color="80181F"/>
              <w:right w:val="single" w:sz="4" w:space="0" w:color="80181F"/>
            </w:tcBorders>
            <w:shd w:val="clear" w:color="auto" w:fill="80181F"/>
            <w:tcMar>
              <w:left w:w="52" w:type="dxa"/>
            </w:tcMar>
            <w:vAlign w:val="center"/>
          </w:tcPr>
          <w:p w:rsidR="00444367" w:rsidRDefault="00FC38B5">
            <w:pPr>
              <w:spacing w:after="0" w:line="240" w:lineRule="auto"/>
              <w:rPr>
                <w:rFonts w:ascii="Segoe UI" w:hAnsi="Segoe UI" w:cs="Segoe UI"/>
                <w:b/>
                <w:bCs/>
                <w:lang w:val="en-GB"/>
              </w:rPr>
            </w:pPr>
            <w:r>
              <w:rPr>
                <w:rFonts w:ascii="Segoe UI" w:hAnsi="Segoe UI" w:cs="Segoe UI"/>
                <w:b/>
              </w:rPr>
              <w:t>OTHER ACTIONS/CLARIFICATIONS</w:t>
            </w:r>
          </w:p>
        </w:tc>
        <w:tc>
          <w:tcPr>
            <w:tcW w:w="2561" w:type="dxa"/>
            <w:tcBorders>
              <w:top w:val="single" w:sz="4" w:space="0" w:color="80181F"/>
              <w:left w:val="single" w:sz="4" w:space="0" w:color="80181F"/>
              <w:bottom w:val="single" w:sz="4" w:space="0" w:color="80181F"/>
              <w:right w:val="single" w:sz="4" w:space="0" w:color="80181F"/>
            </w:tcBorders>
            <w:shd w:val="clear" w:color="auto" w:fill="80181F"/>
            <w:tcMar>
              <w:left w:w="52" w:type="dxa"/>
            </w:tcMar>
            <w:vAlign w:val="center"/>
          </w:tcPr>
          <w:p w:rsidR="00444367" w:rsidRDefault="00FC38B5">
            <w:pPr>
              <w:spacing w:after="0" w:line="240" w:lineRule="auto"/>
              <w:rPr>
                <w:rFonts w:ascii="Segoe UI" w:hAnsi="Segoe UI" w:cs="Segoe UI"/>
                <w:b/>
                <w:bCs/>
                <w:lang w:val="en-GB"/>
              </w:rPr>
            </w:pPr>
            <w:r>
              <w:rPr>
                <w:rFonts w:ascii="Segoe UI" w:hAnsi="Segoe UI" w:cs="Segoe UI"/>
                <w:b/>
              </w:rPr>
              <w:t>OTHER CLARIFICATIONS</w:t>
            </w: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w:t>
            </w:r>
            <w:r>
              <w:rPr>
                <w:rStyle w:val="Ancladenotaalpie"/>
                <w:b/>
                <w:bCs/>
                <w:color w:val="FFFFFF" w:themeColor="background1"/>
                <w:lang w:val="en-GB"/>
              </w:rPr>
              <w:footnoteReference w:id="1"/>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Existing applicable legislation regulating CTM and MS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widowControl w:val="0"/>
              <w:spacing w:after="0" w:line="252" w:lineRule="auto"/>
              <w:contextualSpacing/>
              <w:jc w:val="both"/>
              <w:rPr>
                <w:lang w:val="en-GB"/>
              </w:rPr>
            </w:pPr>
            <w:r w:rsidRPr="000F6B0D">
              <w:rPr>
                <w:rStyle w:val="EnlacedeInternet"/>
                <w:rFonts w:eastAsia="Calibri" w:cs="Calibri"/>
                <w:lang w:val="en-GB" w:eastAsia="es-ES"/>
              </w:rPr>
              <w:t xml:space="preserve">Royal Decree 778/2012 of 4 May 2012 on the legal regime for electronic money institutions ("RD 778/2012"). </w:t>
            </w:r>
          </w:p>
          <w:p w:rsidR="00444367" w:rsidRPr="000F6B0D" w:rsidRDefault="00FC38B5">
            <w:pPr>
              <w:widowControl w:val="0"/>
              <w:spacing w:after="0" w:line="252" w:lineRule="auto"/>
              <w:contextualSpacing/>
              <w:jc w:val="both"/>
              <w:rPr>
                <w:lang w:val="en-GB"/>
              </w:rPr>
            </w:pPr>
            <w:r w:rsidRPr="000F6B0D">
              <w:rPr>
                <w:rStyle w:val="EnlacedeInternet"/>
                <w:rFonts w:eastAsia="Calibri" w:cs="Calibri"/>
                <w:lang w:val="en-GB" w:eastAsia="es-ES"/>
              </w:rPr>
              <w:t>Law 21/2011 of 26 July 2011 on electronic money ("Law 21/2011").</w:t>
            </w:r>
          </w:p>
          <w:p w:rsidR="00444367" w:rsidRPr="000F6B0D" w:rsidRDefault="00444367">
            <w:pPr>
              <w:widowControl w:val="0"/>
              <w:spacing w:after="0" w:line="252" w:lineRule="auto"/>
              <w:contextualSpacing/>
              <w:jc w:val="both"/>
              <w:rPr>
                <w:rStyle w:val="EnlacedeInternet"/>
                <w:rFonts w:eastAsia="Calibri" w:cs="Calibri"/>
                <w:lang w:val="en-GB" w:eastAsia="es-ES"/>
              </w:rPr>
            </w:pPr>
          </w:p>
          <w:p w:rsidR="00444367" w:rsidRDefault="00444367">
            <w:pPr>
              <w:widowControl w:val="0"/>
              <w:spacing w:after="0" w:line="240" w:lineRule="auto"/>
              <w:rPr>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486B85">
            <w:pPr>
              <w:widowControl w:val="0"/>
              <w:spacing w:after="0" w:line="252" w:lineRule="auto"/>
              <w:contextualSpacing/>
              <w:jc w:val="both"/>
              <w:rPr>
                <w:lang w:val="en-GB"/>
              </w:rPr>
            </w:pPr>
            <w:hyperlink r:id="rId22">
              <w:r w:rsidR="00FC38B5" w:rsidRPr="000F6B0D">
                <w:rPr>
                  <w:rStyle w:val="EnlacedeInternet"/>
                  <w:rFonts w:ascii="Segoe UI" w:eastAsia="Calibri" w:hAnsi="Segoe UI" w:cs="Calibri"/>
                  <w:lang w:val="en-GB" w:eastAsia="es-ES"/>
                </w:rPr>
                <w:t>Law 7/1985, of 2 April 1985, Regulating the Bases of the Local Regime ("LBRL").</w:t>
              </w:r>
            </w:hyperlink>
          </w:p>
          <w:p w:rsidR="00444367" w:rsidRPr="000F6B0D" w:rsidRDefault="00FC38B5">
            <w:pPr>
              <w:widowControl w:val="0"/>
              <w:spacing w:after="0" w:line="252" w:lineRule="auto"/>
              <w:contextualSpacing/>
              <w:jc w:val="both"/>
              <w:rPr>
                <w:lang w:val="en-GB"/>
              </w:rPr>
            </w:pPr>
            <w:r w:rsidRPr="000F6B0D">
              <w:rPr>
                <w:rStyle w:val="EnlacedeInternet"/>
                <w:rFonts w:ascii="Segoe UI" w:eastAsia="Calibri" w:hAnsi="Segoe UI" w:cs="Calibri"/>
                <w:lang w:val="en-GB" w:eastAsia="es-ES"/>
              </w:rPr>
              <w:t>Law 10/2010 of 28 April 2010 on the prevention of money laundering and terrorist financing ("Law 10/2010").</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Objective of the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widowControl w:val="0"/>
              <w:spacing w:after="0" w:line="240" w:lineRule="auto"/>
              <w:rPr>
                <w:lang w:val="en-GB"/>
              </w:rPr>
            </w:pPr>
            <w:r>
              <w:rPr>
                <w:rFonts w:ascii="Segoe UI" w:hAnsi="Segoe UI" w:cs="Segoe UI"/>
                <w:lang w:val="en-GB"/>
              </w:rPr>
              <w:t xml:space="preserve">The purpose of this Law is to regulate the issuance of electronic money, including the legal regime </w:t>
            </w:r>
            <w:r>
              <w:rPr>
                <w:rFonts w:ascii="Segoe UI" w:hAnsi="Segoe UI" w:cs="Segoe UI"/>
                <w:lang w:val="en-GB"/>
              </w:rPr>
              <w:lastRenderedPageBreak/>
              <w:t>of electronic money institutions and the prudential supervision of these institutions.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3</w:t>
            </w:r>
            <w:r>
              <w:rPr>
                <w:rStyle w:val="Ancladenotaalpie"/>
                <w:b/>
                <w:bCs/>
                <w:color w:val="FFFFFF" w:themeColor="background1"/>
                <w:lang w:val="en-GB"/>
              </w:rPr>
              <w:footnoteReference w:id="2"/>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Consideration-Theoretical definition CM and EM (according to the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widowControl w:val="0"/>
              <w:spacing w:after="0" w:line="240" w:lineRule="auto"/>
              <w:rPr>
                <w:lang w:val="en-GB"/>
              </w:rPr>
            </w:pPr>
            <w:r>
              <w:rPr>
                <w:rStyle w:val="Destacado"/>
                <w:i w:val="0"/>
                <w:iCs w:val="0"/>
                <w:lang w:val="en-GB"/>
              </w:rPr>
              <w:t>Electronic money shall mean any monetary value stored by electronic or magnetic means representing a claim on the issuer, which is issued on receipt of funds for the purpose of making payment transactions as defined in Article 2.5 of Law 16/2009 of 13 November 2009 on payment services and which is accepted by a natural or legal person other than the issuer of electronic money.</w:t>
            </w:r>
          </w:p>
          <w:p w:rsidR="00444367" w:rsidRDefault="00444367">
            <w:pPr>
              <w:widowControl w:val="0"/>
              <w:spacing w:after="0" w:line="240" w:lineRule="auto"/>
              <w:rPr>
                <w:rStyle w:val="Destacado"/>
                <w:i w:val="0"/>
                <w:iCs w:val="0"/>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pStyle w:val="Textoindependiente"/>
              <w:widowControl w:val="0"/>
              <w:spacing w:after="0" w:line="240" w:lineRule="auto"/>
              <w:rPr>
                <w:rFonts w:ascii="Segoe UI" w:hAnsi="Segoe UI" w:cs="Segoe UI"/>
                <w:lang w:val="en-GB"/>
              </w:rPr>
            </w:pPr>
            <w:r>
              <w:rPr>
                <w:rStyle w:val="Destacado"/>
                <w:rFonts w:ascii="Segoe UI" w:hAnsi="Segoe UI" w:cs="Segoe UI"/>
                <w:i w:val="0"/>
                <w:iCs w:val="0"/>
                <w:lang w:val="en-GB"/>
              </w:rPr>
              <w:t>This Act shall not apply to that monetary value:</w:t>
            </w:r>
          </w:p>
          <w:p w:rsidR="00444367" w:rsidRPr="000F6B0D" w:rsidRDefault="00FC38B5">
            <w:pPr>
              <w:pStyle w:val="Textoindependiente"/>
              <w:spacing w:after="0"/>
              <w:rPr>
                <w:lang w:val="en-GB"/>
              </w:rPr>
            </w:pPr>
            <w:r w:rsidRPr="000F6B0D">
              <w:rPr>
                <w:lang w:val="en-GB"/>
              </w:rPr>
              <w:t>(a) stored in instruments which may be used for the purchase of goods or services only on the premises of the issuer or, under a commercial arrangement with the issuer, either in a limited network of service providers or for a limited range of goods or services, in accordance with conditions to be established by regulation;</w:t>
            </w:r>
          </w:p>
          <w:p w:rsidR="00444367" w:rsidRPr="000F6B0D" w:rsidRDefault="00FC38B5">
            <w:pPr>
              <w:pStyle w:val="Textoindependiente"/>
              <w:spacing w:after="0"/>
              <w:rPr>
                <w:lang w:val="en-GB"/>
              </w:rPr>
            </w:pPr>
            <w:r w:rsidRPr="000F6B0D">
              <w:rPr>
                <w:lang w:val="en-GB"/>
              </w:rPr>
              <w:t xml:space="preserve">(b) </w:t>
            </w:r>
            <w:proofErr w:type="gramStart"/>
            <w:r w:rsidRPr="000F6B0D">
              <w:rPr>
                <w:lang w:val="en-GB"/>
              </w:rPr>
              <w:t>used</w:t>
            </w:r>
            <w:proofErr w:type="gramEnd"/>
            <w:r w:rsidRPr="000F6B0D">
              <w:rPr>
                <w:lang w:val="en-GB"/>
              </w:rPr>
              <w:t xml:space="preserve"> to carry out payment transactions exempted under Article 3(l) of Law 16/2009 of 13 November 2009 on payment services.</w:t>
            </w:r>
          </w:p>
          <w:p w:rsidR="00444367" w:rsidRPr="000F6B0D" w:rsidRDefault="00444367">
            <w:pPr>
              <w:widowControl w:val="0"/>
              <w:spacing w:after="0" w:line="240" w:lineRule="auto"/>
              <w:rPr>
                <w:rStyle w:val="Destacado"/>
                <w:i w:val="0"/>
                <w:iCs w:val="0"/>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widowControl w:val="0"/>
              <w:spacing w:after="0" w:line="240" w:lineRule="auto"/>
              <w:rPr>
                <w:lang w:val="en-GB"/>
              </w:rPr>
            </w:pPr>
            <w:r>
              <w:rPr>
                <w:rStyle w:val="Destacado"/>
                <w:rFonts w:ascii="Segoe UI" w:hAnsi="Segoe UI" w:cs="Segoe UI"/>
                <w:i w:val="0"/>
                <w:iCs w:val="0"/>
                <w:lang w:val="en-GB"/>
              </w:rPr>
              <w:t>There is no definition in the Complementary Currencies standard.</w:t>
            </w: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Scope of CTM and EM legislation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pStyle w:val="Textoindependiente"/>
              <w:spacing w:after="0" w:line="240" w:lineRule="auto"/>
              <w:rPr>
                <w:lang w:val="en-GB"/>
              </w:rPr>
            </w:pPr>
            <w:r>
              <w:rPr>
                <w:lang w:val="en-GB"/>
              </w:rPr>
              <w:t>The following categories of electronic money issuers may issue electronic money:</w:t>
            </w:r>
          </w:p>
          <w:p w:rsidR="00444367" w:rsidRPr="000F6B0D" w:rsidRDefault="00FC38B5">
            <w:pPr>
              <w:pStyle w:val="Textoindependiente"/>
              <w:spacing w:after="0"/>
              <w:rPr>
                <w:lang w:val="en-GB"/>
              </w:rPr>
            </w:pPr>
            <w:r w:rsidRPr="000F6B0D">
              <w:rPr>
                <w:lang w:val="en-GB"/>
              </w:rPr>
              <w:t xml:space="preserve">a) Credit institutions, as referred to in Article 1.2 of Royal Legislative Decree 1298/1986 of 28 June 1986 on the </w:t>
            </w:r>
            <w:r w:rsidRPr="000F6B0D">
              <w:rPr>
                <w:lang w:val="en-GB"/>
              </w:rPr>
              <w:lastRenderedPageBreak/>
              <w:t>adaptation of current law on credit institutions to that of the European Communities, and any branch in Spain of a credit institution whose parent company is domiciled or authorised outside the European Union.</w:t>
            </w:r>
          </w:p>
          <w:p w:rsidR="00444367" w:rsidRPr="000F6B0D" w:rsidRDefault="00FC38B5">
            <w:pPr>
              <w:pStyle w:val="Textoindependiente"/>
              <w:spacing w:after="0"/>
              <w:rPr>
                <w:lang w:val="en-GB"/>
              </w:rPr>
            </w:pPr>
            <w:r w:rsidRPr="000F6B0D">
              <w:rPr>
                <w:lang w:val="en-GB"/>
              </w:rPr>
              <w:t xml:space="preserve">(b) </w:t>
            </w:r>
            <w:proofErr w:type="gramStart"/>
            <w:r w:rsidRPr="000F6B0D">
              <w:rPr>
                <w:lang w:val="en-GB"/>
              </w:rPr>
              <w:t>electronic</w:t>
            </w:r>
            <w:proofErr w:type="gramEnd"/>
            <w:r w:rsidRPr="000F6B0D">
              <w:rPr>
                <w:lang w:val="en-GB"/>
              </w:rPr>
              <w:t xml:space="preserve"> money institutions authorised in accordance with Article 4 of this Law and any branch in Spain of an electronic money institution whose parent is domiciled or authorised outside the European Union.</w:t>
            </w:r>
          </w:p>
          <w:p w:rsidR="00444367" w:rsidRPr="000F6B0D" w:rsidRDefault="00FC38B5">
            <w:pPr>
              <w:pStyle w:val="Textoindependiente"/>
              <w:spacing w:after="0"/>
              <w:rPr>
                <w:lang w:val="en-GB"/>
              </w:rPr>
            </w:pPr>
            <w:r w:rsidRPr="000F6B0D">
              <w:rPr>
                <w:lang w:val="en-GB"/>
              </w:rPr>
              <w:t xml:space="preserve">(c) </w:t>
            </w:r>
            <w:proofErr w:type="spellStart"/>
            <w:r w:rsidRPr="000F6B0D">
              <w:rPr>
                <w:lang w:val="en-GB"/>
              </w:rPr>
              <w:t>Sociedad</w:t>
            </w:r>
            <w:proofErr w:type="spellEnd"/>
            <w:r w:rsidRPr="000F6B0D">
              <w:rPr>
                <w:lang w:val="en-GB"/>
              </w:rPr>
              <w:t xml:space="preserve"> </w:t>
            </w:r>
            <w:proofErr w:type="spellStart"/>
            <w:r w:rsidRPr="000F6B0D">
              <w:rPr>
                <w:lang w:val="en-GB"/>
              </w:rPr>
              <w:t>Estatal</w:t>
            </w:r>
            <w:proofErr w:type="spellEnd"/>
            <w:r w:rsidRPr="000F6B0D">
              <w:rPr>
                <w:lang w:val="en-GB"/>
              </w:rPr>
              <w:t xml:space="preserve"> de </w:t>
            </w:r>
            <w:proofErr w:type="spellStart"/>
            <w:r w:rsidRPr="000F6B0D">
              <w:rPr>
                <w:lang w:val="en-GB"/>
              </w:rPr>
              <w:t>Correos</w:t>
            </w:r>
            <w:proofErr w:type="spellEnd"/>
            <w:r w:rsidRPr="000F6B0D">
              <w:rPr>
                <w:lang w:val="en-GB"/>
              </w:rPr>
              <w:t xml:space="preserve"> y </w:t>
            </w:r>
            <w:proofErr w:type="spellStart"/>
            <w:r w:rsidRPr="000F6B0D">
              <w:rPr>
                <w:lang w:val="en-GB"/>
              </w:rPr>
              <w:t>Telégrafos</w:t>
            </w:r>
            <w:proofErr w:type="spellEnd"/>
            <w:r w:rsidRPr="000F6B0D">
              <w:rPr>
                <w:lang w:val="en-GB"/>
              </w:rPr>
              <w:t>, S.A., in respect of the electronic money issuance activities for which it is empowered under its specific regulations.</w:t>
            </w:r>
          </w:p>
          <w:p w:rsidR="00444367" w:rsidRPr="000F6B0D" w:rsidRDefault="00FC38B5">
            <w:pPr>
              <w:pStyle w:val="Textoindependiente"/>
              <w:spacing w:after="0"/>
              <w:rPr>
                <w:lang w:val="en-GB"/>
              </w:rPr>
            </w:pPr>
            <w:r w:rsidRPr="000F6B0D">
              <w:rPr>
                <w:lang w:val="en-GB"/>
              </w:rPr>
              <w:t xml:space="preserve">(d) </w:t>
            </w:r>
            <w:proofErr w:type="gramStart"/>
            <w:r w:rsidRPr="000F6B0D">
              <w:rPr>
                <w:lang w:val="en-GB"/>
              </w:rPr>
              <w:t>the</w:t>
            </w:r>
            <w:proofErr w:type="gramEnd"/>
            <w:r w:rsidRPr="000F6B0D">
              <w:rPr>
                <w:lang w:val="en-GB"/>
              </w:rPr>
              <w:t xml:space="preserve"> Banco de </w:t>
            </w:r>
            <w:proofErr w:type="spellStart"/>
            <w:r w:rsidRPr="000F6B0D">
              <w:rPr>
                <w:lang w:val="en-GB"/>
              </w:rPr>
              <w:t>España</w:t>
            </w:r>
            <w:proofErr w:type="spellEnd"/>
            <w:r w:rsidRPr="000F6B0D">
              <w:rPr>
                <w:lang w:val="en-GB"/>
              </w:rPr>
              <w:t>, when it is not acting in its capacity as monetary authority.</w:t>
            </w:r>
          </w:p>
          <w:p w:rsidR="00444367" w:rsidRPr="000F6B0D" w:rsidRDefault="00FC38B5">
            <w:pPr>
              <w:pStyle w:val="Textoindependiente"/>
              <w:spacing w:after="0"/>
              <w:rPr>
                <w:lang w:val="en-GB"/>
              </w:rPr>
            </w:pPr>
            <w:r w:rsidRPr="000F6B0D">
              <w:rPr>
                <w:lang w:val="en-GB"/>
              </w:rPr>
              <w:t>e) The General State Administration, the Autonomous Communities and Local Entities, when acting in their capacity as public authorities.</w:t>
            </w:r>
          </w:p>
          <w:p w:rsidR="00444367" w:rsidRDefault="00444367">
            <w:pPr>
              <w:spacing w:after="0" w:line="240" w:lineRule="auto"/>
              <w:rPr>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Actors involved in CM and EM</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sidRPr="000F6B0D">
              <w:rPr>
                <w:lang w:val="en-GB"/>
              </w:rPr>
              <w:t>- Electronic Money Issuers (see above)</w:t>
            </w:r>
          </w:p>
          <w:p w:rsidR="00444367" w:rsidRPr="000F6B0D" w:rsidRDefault="00FC38B5">
            <w:pPr>
              <w:spacing w:after="0" w:line="240" w:lineRule="auto"/>
              <w:rPr>
                <w:lang w:val="en-GB"/>
              </w:rPr>
            </w:pPr>
            <w:r w:rsidRPr="000F6B0D">
              <w:rPr>
                <w:lang w:val="en-GB"/>
              </w:rPr>
              <w:t xml:space="preserve">- Authorisation and registration: The Minister for Economic Affairs and Finance, following a report by the Banco de </w:t>
            </w:r>
            <w:proofErr w:type="spellStart"/>
            <w:r w:rsidRPr="000F6B0D">
              <w:rPr>
                <w:lang w:val="en-GB"/>
              </w:rPr>
              <w:t>España</w:t>
            </w:r>
            <w:proofErr w:type="spellEnd"/>
            <w:r w:rsidRPr="000F6B0D">
              <w:rPr>
                <w:lang w:val="en-GB"/>
              </w:rPr>
              <w:t xml:space="preserve"> and the executive service of the Commission for the Prevention of Money Laundering and Monetary Offences on matters within its remit, is responsible for authorising the creation of electronic money institutions, as well as the establishment in Spain of branches of such institutions authorised or domiciled in a non-EU Member State.</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lang w:val="en-GB"/>
              </w:rPr>
            </w:pPr>
            <w:r>
              <w:rPr>
                <w:rFonts w:ascii="Segoe UI" w:hAnsi="Segoe UI" w:cs="Segoe UI"/>
                <w:lang w:val="en-GB"/>
              </w:rPr>
              <w:t xml:space="preserve">Any entity could issue a local currency if it could justify the exclusion requirements. </w:t>
            </w: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Administration - competent legislative body CM and MS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52" w:lineRule="auto"/>
              <w:jc w:val="both"/>
              <w:rPr>
                <w:lang w:val="en-GB"/>
              </w:rPr>
            </w:pPr>
            <w:r w:rsidRPr="000F6B0D">
              <w:rPr>
                <w:rFonts w:eastAsia="Calibri" w:cs="Calibri"/>
                <w:i/>
                <w:iCs/>
                <w:sz w:val="20"/>
                <w:szCs w:val="20"/>
                <w:lang w:val="en-GB" w:eastAsia="es-ES"/>
              </w:rPr>
              <w:t xml:space="preserve">(a) the European Central Bank, the Banco de </w:t>
            </w:r>
            <w:proofErr w:type="spellStart"/>
            <w:r w:rsidRPr="000F6B0D">
              <w:rPr>
                <w:rFonts w:eastAsia="Calibri" w:cs="Calibri"/>
                <w:i/>
                <w:iCs/>
                <w:sz w:val="20"/>
                <w:szCs w:val="20"/>
                <w:lang w:val="en-GB" w:eastAsia="es-ES"/>
              </w:rPr>
              <w:t>España</w:t>
            </w:r>
            <w:proofErr w:type="spellEnd"/>
            <w:r w:rsidRPr="000F6B0D">
              <w:rPr>
                <w:rFonts w:eastAsia="Calibri" w:cs="Calibri"/>
                <w:i/>
                <w:iCs/>
                <w:sz w:val="20"/>
                <w:szCs w:val="20"/>
                <w:lang w:val="en-GB" w:eastAsia="es-ES"/>
              </w:rPr>
              <w:t xml:space="preserve"> and the other national central banks;</w:t>
            </w:r>
          </w:p>
          <w:p w:rsidR="00444367" w:rsidRPr="000F6B0D" w:rsidRDefault="00FC38B5">
            <w:pPr>
              <w:widowControl w:val="0"/>
              <w:spacing w:after="0" w:line="252" w:lineRule="auto"/>
              <w:jc w:val="both"/>
              <w:rPr>
                <w:lang w:val="en-GB"/>
              </w:rPr>
            </w:pPr>
            <w:r w:rsidRPr="000F6B0D">
              <w:rPr>
                <w:rFonts w:ascii="Segoe UI" w:eastAsia="Calibri" w:hAnsi="Segoe UI" w:cs="Calibri"/>
                <w:i/>
                <w:iCs/>
                <w:sz w:val="20"/>
                <w:szCs w:val="20"/>
                <w:lang w:val="en-GB" w:eastAsia="es-ES"/>
              </w:rPr>
              <w:t xml:space="preserve">b) </w:t>
            </w:r>
            <w:proofErr w:type="gramStart"/>
            <w:r w:rsidRPr="000F6B0D">
              <w:rPr>
                <w:rFonts w:ascii="Segoe UI" w:eastAsia="Calibri" w:hAnsi="Segoe UI" w:cs="Calibri"/>
                <w:i/>
                <w:iCs/>
                <w:sz w:val="20"/>
                <w:szCs w:val="20"/>
                <w:lang w:val="en-GB" w:eastAsia="es-ES"/>
              </w:rPr>
              <w:t>the</w:t>
            </w:r>
            <w:proofErr w:type="gramEnd"/>
            <w:r w:rsidRPr="000F6B0D">
              <w:rPr>
                <w:rFonts w:ascii="Segoe UI" w:eastAsia="Calibri" w:hAnsi="Segoe UI" w:cs="Calibri"/>
                <w:i/>
                <w:iCs/>
                <w:sz w:val="20"/>
                <w:szCs w:val="20"/>
                <w:lang w:val="en-GB" w:eastAsia="es-ES"/>
              </w:rPr>
              <w:t xml:space="preserve"> General State Administration, the Autonomous Communities and Local Entities".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Administration - competent executive body CM and MS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52" w:lineRule="auto"/>
              <w:jc w:val="both"/>
              <w:rPr>
                <w:lang w:val="en-GB"/>
              </w:rPr>
            </w:pPr>
            <w:r w:rsidRPr="000F6B0D">
              <w:rPr>
                <w:rFonts w:ascii="Segoe UI" w:eastAsia="Calibri" w:hAnsi="Segoe UI" w:cs="Calibri"/>
                <w:i/>
                <w:iCs/>
                <w:sz w:val="20"/>
                <w:szCs w:val="20"/>
                <w:lang w:val="en-GB" w:eastAsia="es-ES"/>
              </w:rPr>
              <w:t>The General State Administration, the Autonomous Communities and Local Authorities, when acting in their capacity as public authorities, may issue electronic money.</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pPr>
            <w:r>
              <w:rPr>
                <w:rFonts w:ascii="Segoe UI" w:hAnsi="Segoe UI" w:cs="Segoe UI"/>
                <w:lang w:val="en-GB"/>
              </w:rPr>
              <w:t>Accepted and registered DTSs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 xml:space="preserve">Measures promoting or encouraging CMM and </w:t>
            </w:r>
            <w:proofErr w:type="spellStart"/>
            <w:r>
              <w:rPr>
                <w:rFonts w:ascii="Segoe UI" w:hAnsi="Segoe UI" w:cs="Segoe UI"/>
                <w:b/>
                <w:bCs/>
                <w:color w:val="80181F"/>
                <w:lang w:val="en-GB"/>
              </w:rPr>
              <w:t>MoM</w:t>
            </w:r>
            <w:proofErr w:type="spellEnd"/>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No promotional measures are in place</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Other legislation related to information and communication management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10</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Possibility to create new CTM and EM legislation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A specific legislation would be necessary to take into account the diversity of monetary creation, giving a specific role to the field of social and complementary currencies, offering a secure context for their development and scaling up at local level with a clear orientation towards social improvement and empowerment.</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11</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Possibility to amend existing CTM and EM legislation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Given the large number of monetary tools and innovations in this field, it is necessary to update and, above all, decentralise the management of this type of instruments.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In some countries and contexts they are developing specific standards for monetary tools.</w:t>
            </w:r>
          </w:p>
          <w:p w:rsidR="00444367" w:rsidRPr="000F6B0D" w:rsidRDefault="00FC38B5">
            <w:pPr>
              <w:spacing w:after="0" w:line="240" w:lineRule="auto"/>
              <w:rPr>
                <w:lang w:val="en-GB"/>
              </w:rPr>
            </w:pPr>
            <w:r>
              <w:rPr>
                <w:rFonts w:ascii="Segoe UI" w:hAnsi="Segoe UI" w:cs="Segoe UI"/>
                <w:lang w:val="en-GB"/>
              </w:rPr>
              <w:t>In Spain there is no regulation in this respect, although the need is beginning to be seen, driven by the presence of cryptocurrencies and other various financial assets under decentralised management.</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Problems with Identification/Implementation of CM and EM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widowControl w:val="0"/>
              <w:spacing w:after="0" w:line="240" w:lineRule="auto"/>
              <w:rPr>
                <w:lang w:val="en-GB"/>
              </w:rPr>
            </w:pPr>
            <w:r>
              <w:rPr>
                <w:lang w:val="en-GB"/>
              </w:rPr>
              <w:t xml:space="preserve">There is no explicit regulation on Complementary Currencies. Moreover, for this type of currencies, the strict regulation that exists for Electronic Money should not be taken into </w:t>
            </w:r>
            <w:r>
              <w:rPr>
                <w:lang w:val="en-GB"/>
              </w:rPr>
              <w:lastRenderedPageBreak/>
              <w:t xml:space="preserve">account, as the purpose, use and actors are specific to the objective pursued with this tool. </w:t>
            </w:r>
          </w:p>
          <w:p w:rsidR="00444367" w:rsidRPr="000F6B0D" w:rsidRDefault="00FC38B5">
            <w:pPr>
              <w:widowControl w:val="0"/>
              <w:spacing w:after="0" w:line="240" w:lineRule="auto"/>
              <w:rPr>
                <w:lang w:val="en-GB"/>
              </w:rPr>
            </w:pPr>
            <w:r>
              <w:rPr>
                <w:lang w:val="en-GB"/>
              </w:rPr>
              <w:t>There is talk of limited networks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lang w:val="en-GB"/>
              </w:rPr>
            </w:pPr>
            <w:r w:rsidRPr="000F6B0D">
              <w:rPr>
                <w:lang w:val="en-GB"/>
              </w:rPr>
              <w:lastRenderedPageBreak/>
              <w:t>Identify these problems, gaps and other regulatory conflicts.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13</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 xml:space="preserve">CTM and </w:t>
            </w:r>
            <w:proofErr w:type="spellStart"/>
            <w:r>
              <w:rPr>
                <w:rFonts w:ascii="Segoe UI" w:hAnsi="Segoe UI" w:cs="Segoe UI"/>
                <w:b/>
                <w:bCs/>
                <w:color w:val="80181F"/>
                <w:lang w:val="en-GB"/>
              </w:rPr>
              <w:t>MoE</w:t>
            </w:r>
            <w:proofErr w:type="spellEnd"/>
            <w:r>
              <w:rPr>
                <w:rFonts w:ascii="Segoe UI" w:hAnsi="Segoe UI" w:cs="Segoe UI"/>
                <w:b/>
                <w:bCs/>
                <w:color w:val="80181F"/>
                <w:lang w:val="en-GB"/>
              </w:rPr>
              <w:t xml:space="preserve"> regulations and other regulations applicable to the demonstration action (concrete project)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All relevant legislation related to electronic money</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Are there other forms of currency that are not legal tender or are they prohibited?</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No non-legal tender or e-money currencies are included in the legislation, although there are a large number of complementary economies: time banks, mutual credit systems, economic backing currencies, etc., which are not legal tender.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There is no public legal framework to support the use of these currencies. The basis for the legitimacy of these currencies are private agreements between parties based on trust. They are networks of people and entities that are governed by other values and rules.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lang w:val="en-GB"/>
              </w:rPr>
              <w:t>They are not accepted by public authorities, although as they are preferably located at the local level, they can be supported and accepted by local economic actors.</w:t>
            </w: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Are there financial services other than legal tender provided by financial institutions?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sidRPr="000F6B0D">
              <w:rPr>
                <w:lang w:val="en-GB"/>
              </w:rPr>
              <w:t>Financial institutions have their own loyalty tools through complementary types of currencies, although they cannot be considered as e-money but as loyalty mechanisms.</w:t>
            </w:r>
          </w:p>
          <w:p w:rsidR="00444367" w:rsidRPr="000F6B0D" w:rsidRDefault="00FC38B5">
            <w:pPr>
              <w:spacing w:after="0" w:line="240" w:lineRule="auto"/>
              <w:rPr>
                <w:lang w:val="en-GB"/>
              </w:rPr>
            </w:pPr>
            <w:r w:rsidRPr="000F6B0D">
              <w:rPr>
                <w:lang w:val="en-GB"/>
              </w:rPr>
              <w:t>Large companies also work with this type of discount vouchers.</w:t>
            </w:r>
          </w:p>
          <w:p w:rsidR="00444367" w:rsidRPr="000F6B0D" w:rsidRDefault="00FC38B5">
            <w:pPr>
              <w:spacing w:after="0" w:line="240" w:lineRule="auto"/>
              <w:rPr>
                <w:lang w:val="en-GB"/>
              </w:rPr>
            </w:pPr>
            <w:r w:rsidRPr="000F6B0D">
              <w:rPr>
                <w:lang w:val="en-GB"/>
              </w:rPr>
              <w:t xml:space="preserve">There are now payment systems such as </w:t>
            </w:r>
            <w:proofErr w:type="spellStart"/>
            <w:r w:rsidRPr="000F6B0D">
              <w:rPr>
                <w:lang w:val="en-GB"/>
              </w:rPr>
              <w:t>Bizum</w:t>
            </w:r>
            <w:proofErr w:type="spellEnd"/>
            <w:r w:rsidRPr="000F6B0D">
              <w:rPr>
                <w:lang w:val="en-GB"/>
              </w:rPr>
              <w:t xml:space="preserve"> which are payment intermediaries.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 xml:space="preserve">There are now payment systems such as </w:t>
            </w:r>
            <w:proofErr w:type="spellStart"/>
            <w:r>
              <w:rPr>
                <w:rFonts w:ascii="Segoe UI" w:hAnsi="Segoe UI" w:cs="Segoe UI"/>
                <w:lang w:val="en-GB"/>
              </w:rPr>
              <w:t>Bizum</w:t>
            </w:r>
            <w:proofErr w:type="spellEnd"/>
            <w:r>
              <w:rPr>
                <w:rFonts w:ascii="Segoe UI" w:hAnsi="Segoe UI" w:cs="Segoe UI"/>
                <w:lang w:val="en-GB"/>
              </w:rPr>
              <w:t xml:space="preserve"> which are payment intermediaries.</w:t>
            </w:r>
          </w:p>
          <w:p w:rsidR="00444367" w:rsidRPr="000F6B0D" w:rsidRDefault="00FC38B5">
            <w:pPr>
              <w:spacing w:after="0" w:line="240" w:lineRule="auto"/>
              <w:rPr>
                <w:lang w:val="en-GB"/>
              </w:rPr>
            </w:pPr>
            <w:r>
              <w:rPr>
                <w:rFonts w:ascii="Segoe UI" w:hAnsi="Segoe UI" w:cs="Segoe UI"/>
                <w:lang w:val="en-GB"/>
              </w:rPr>
              <w:t xml:space="preserve">Nickel offers cash withdrawal at any point on a purchase. </w:t>
            </w:r>
          </w:p>
          <w:p w:rsidR="00444367" w:rsidRPr="000F6B0D" w:rsidRDefault="00FC38B5">
            <w:pPr>
              <w:spacing w:after="0" w:line="240" w:lineRule="auto"/>
              <w:rPr>
                <w:lang w:val="en-GB"/>
              </w:rPr>
            </w:pPr>
            <w:r>
              <w:rPr>
                <w:rFonts w:ascii="Segoe UI" w:hAnsi="Segoe UI" w:cs="Segoe UI"/>
                <w:lang w:val="en-GB"/>
              </w:rPr>
              <w:t>Cryptocurrencies are a new asset that allows exchanges to be made in a currency other than the legal currency, but backed by legal tender.</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lang w:val="en-GB"/>
              </w:rPr>
              <w:t>The public sector does not accept payments from intermediate platforms, only from accredited banks or registered DTSs.</w:t>
            </w: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Apart from the State/Government and associated banks (Central Banks), are there other institutions that can issue legal tender and e-money?</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Not legal tender.</w:t>
            </w:r>
          </w:p>
          <w:p w:rsidR="00444367" w:rsidRPr="000F6B0D" w:rsidRDefault="00FC38B5">
            <w:pPr>
              <w:spacing w:after="0" w:line="240" w:lineRule="auto"/>
              <w:rPr>
                <w:lang w:val="en-GB"/>
              </w:rPr>
            </w:pPr>
            <w:r>
              <w:rPr>
                <w:rFonts w:ascii="Segoe UI" w:hAnsi="Segoe UI" w:cs="Segoe UI"/>
                <w:lang w:val="en-GB"/>
              </w:rPr>
              <w:t>E-money any entity registered as an E-money institution</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Are services paid for with these local currencies (Complementary Currency Systems, CMS) subject to VAT, social security or other similar taxes and charges?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Any transaction conducted through an E-money DTS is subject to the same rules, rights and obligations as legal tender in terms of taxation, taxation and similar charges.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Fonts w:ascii="Segoe UI" w:hAnsi="Segoe UI" w:cs="Segoe UI"/>
                <w:lang w:val="en-GB"/>
              </w:rPr>
              <w:t>If we talk about complementary commentary services on complementary currencies (not e-money) the case is different, as it is regulated by private/community agreements based on trust. At the commercial level, these exchanges in complementary currencies are often legally accounted for as discounts or advances on purchases.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rFonts w:ascii="Segoe UI" w:hAnsi="Segoe UI" w:cs="Segoe UI"/>
                <w:b/>
                <w:bCs/>
                <w:color w:val="FFFFFF" w:themeColor="background1"/>
                <w:lang w:val="en-GB"/>
              </w:rPr>
            </w:pPr>
            <w:r>
              <w:rPr>
                <w:b/>
                <w:bCs/>
                <w:color w:val="FFFFFF" w:themeColor="background1"/>
                <w:lang w:val="en-GB"/>
              </w:rPr>
              <w:t>18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Is there any kind of legal security (insurance) coverage backing local currency and e-money related to the SSE?</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Style w:val="Destacado"/>
                <w:rFonts w:ascii="Segoe UI" w:hAnsi="Segoe UI" w:cs="Segoe UI"/>
                <w:lang w:val="en-GB"/>
              </w:rPr>
              <w:t xml:space="preserve">Electronic money institutions shall safeguard funds received in exchange for electronic money issued or for the provision of payment services not linked to such issuance, subject to the procedure laid down in </w:t>
            </w:r>
            <w:hyperlink r:id="rId23" w:anchor="I233" w:history="1">
              <w:r>
                <w:rPr>
                  <w:rStyle w:val="Destacado"/>
                  <w:rFonts w:ascii="Segoe UI" w:hAnsi="Segoe UI" w:cs="Segoe UI"/>
                  <w:lang w:val="en-GB"/>
                </w:rPr>
                <w:t>Article 21.1.a) of Royal Decree-Law 19/2018</w:t>
              </w:r>
            </w:hyperlink>
            <w:r>
              <w:rPr>
                <w:rStyle w:val="Destacado"/>
                <w:rFonts w:ascii="Segoe UI" w:hAnsi="Segoe UI" w:cs="Segoe UI"/>
                <w:lang w:val="en-GB"/>
              </w:rPr>
              <w:t xml:space="preserve"> which prescribes the deposit of such funds in a separate account or investment in safe, low-risk assets, unless the Banco de </w:t>
            </w:r>
            <w:proofErr w:type="spellStart"/>
            <w:r>
              <w:rPr>
                <w:rStyle w:val="Destacado"/>
                <w:rFonts w:ascii="Segoe UI" w:hAnsi="Segoe UI" w:cs="Segoe UI"/>
                <w:lang w:val="en-GB"/>
              </w:rPr>
              <w:t>España</w:t>
            </w:r>
            <w:proofErr w:type="spellEnd"/>
            <w:r>
              <w:rPr>
                <w:rStyle w:val="Destacado"/>
                <w:rFonts w:ascii="Segoe UI" w:hAnsi="Segoe UI" w:cs="Segoe UI"/>
                <w:lang w:val="en-GB"/>
              </w:rPr>
              <w:t xml:space="preserve"> authorises, in accordance with </w:t>
            </w:r>
            <w:hyperlink r:id="rId24" w:anchor="I81" w:history="1">
              <w:r>
                <w:rPr>
                  <w:rStyle w:val="Destacado"/>
                  <w:rFonts w:ascii="Segoe UI" w:hAnsi="Segoe UI" w:cs="Segoe UI"/>
                  <w:lang w:val="en-GB"/>
                </w:rPr>
                <w:t xml:space="preserve">Article 9.3 of Law </w:t>
              </w:r>
              <w:r>
                <w:rPr>
                  <w:rStyle w:val="Destacado"/>
                  <w:rFonts w:ascii="Segoe UI" w:hAnsi="Segoe UI" w:cs="Segoe UI"/>
                  <w:lang w:val="en-GB"/>
                </w:rPr>
                <w:lastRenderedPageBreak/>
                <w:t>21/2011</w:t>
              </w:r>
            </w:hyperlink>
            <w:r>
              <w:rPr>
                <w:rStyle w:val="Destacado"/>
                <w:rFonts w:ascii="Segoe UI" w:hAnsi="Segoe UI" w:cs="Segoe UI"/>
                <w:lang w:val="en-GB"/>
              </w:rPr>
              <w:t xml:space="preserve"> the use of the safeguard method provided for in article 21.1.b) of the aforementioned Royal Decree-Law.</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pStyle w:val="Textoindependiente"/>
              <w:spacing w:after="0" w:line="240" w:lineRule="auto"/>
              <w:rPr>
                <w:lang w:val="en-GB"/>
              </w:rPr>
            </w:pPr>
            <w:r>
              <w:rPr>
                <w:rStyle w:val="Destacado"/>
                <w:rFonts w:ascii="Segoe UI" w:hAnsi="Segoe UI" w:cs="Segoe UI"/>
                <w:lang w:val="en-GB"/>
              </w:rPr>
              <w:lastRenderedPageBreak/>
              <w:t xml:space="preserve">The procedure adopted by each electronic money institution must be included in the Banco de </w:t>
            </w:r>
            <w:proofErr w:type="spellStart"/>
            <w:r>
              <w:rPr>
                <w:rStyle w:val="Destacado"/>
                <w:rFonts w:ascii="Segoe UI" w:hAnsi="Segoe UI" w:cs="Segoe UI"/>
                <w:lang w:val="en-GB"/>
              </w:rPr>
              <w:t>España's</w:t>
            </w:r>
            <w:proofErr w:type="spellEnd"/>
            <w:r>
              <w:rPr>
                <w:rStyle w:val="Destacado"/>
                <w:rFonts w:ascii="Segoe UI" w:hAnsi="Segoe UI" w:cs="Segoe UI"/>
                <w:lang w:val="en-GB"/>
              </w:rPr>
              <w:t xml:space="preserve"> Special Register of electronic money institutions, as well as in the framework contracts that the institutions sign with users or in the conditions of use of the services. The change of the safeguarding system, but not of the guarantor, shall be subject to the regime laid down in </w:t>
            </w:r>
            <w:hyperlink r:id="rId25" w:anchor="I315" w:history="1">
              <w:r>
                <w:rPr>
                  <w:rStyle w:val="Destacado"/>
                  <w:rFonts w:ascii="Segoe UI" w:hAnsi="Segoe UI" w:cs="Segoe UI"/>
                  <w:lang w:val="en-GB"/>
                </w:rPr>
                <w:t>article 33.1 of Royal Decree-Law 19/2018, of 23 November</w:t>
              </w:r>
            </w:hyperlink>
            <w:r>
              <w:rPr>
                <w:rStyle w:val="Destacado"/>
                <w:rFonts w:ascii="Segoe UI" w:hAnsi="Segoe UI" w:cs="Segoe UI"/>
                <w:lang w:val="en-GB"/>
              </w:rPr>
              <w:t xml:space="preserve"> on </w:t>
            </w:r>
            <w:r>
              <w:rPr>
                <w:rStyle w:val="Destacado"/>
                <w:rFonts w:ascii="Segoe UI" w:hAnsi="Segoe UI" w:cs="Segoe UI"/>
                <w:lang w:val="en-GB"/>
              </w:rPr>
              <w:lastRenderedPageBreak/>
              <w:t>the modification of the conditions of the framework contract</w:t>
            </w:r>
            <w:r>
              <w:rPr>
                <w:rFonts w:ascii="Segoe UI" w:hAnsi="Segoe UI" w:cs="Segoe UI"/>
                <w:lang w:val="en-GB"/>
              </w:rPr>
              <w:t xml:space="preserve">. </w:t>
            </w:r>
          </w:p>
          <w:p w:rsidR="00444367" w:rsidRPr="000F6B0D" w:rsidRDefault="00FC38B5">
            <w:pPr>
              <w:pStyle w:val="Textoindependiente"/>
              <w:spacing w:after="0"/>
              <w:rPr>
                <w:lang w:val="en-GB"/>
              </w:rPr>
            </w:pPr>
            <w:r w:rsidRPr="000F6B0D">
              <w:rPr>
                <w:rStyle w:val="Destacado"/>
                <w:lang w:val="en-GB"/>
              </w:rPr>
              <w:t>The electronic money institution shall also disclose the chosen safeguarding system in clear and easily accessible terms on its website, where it has one, and in any advertising</w:t>
            </w:r>
            <w:r w:rsidRPr="000F6B0D">
              <w:rPr>
                <w:lang w:val="en-GB"/>
              </w:rPr>
              <w:t xml:space="preserve">. </w:t>
            </w:r>
          </w:p>
          <w:p w:rsidR="00444367" w:rsidRDefault="00444367">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rStyle w:val="Destacado"/>
                <w:rFonts w:ascii="Segoe UI" w:hAnsi="Segoe UI" w:cs="Segoe UI"/>
                <w:lang w:val="en-GB"/>
              </w:rPr>
              <w:lastRenderedPageBreak/>
              <w:t xml:space="preserve">Where electronic money institutions follow the procedure set out in Article 21(1)(b) of </w:t>
            </w:r>
            <w:hyperlink r:id="rId26" w:anchor="I233" w:history="1">
              <w:r>
                <w:rPr>
                  <w:rStyle w:val="Destacado"/>
                  <w:rFonts w:ascii="Segoe UI" w:hAnsi="Segoe UI" w:cs="Segoe UI"/>
                  <w:lang w:val="en-GB"/>
                </w:rPr>
                <w:t>Article 21(1)(b) of Royal Decree-Law 19/2018 of 23 November 2018</w:t>
              </w:r>
            </w:hyperlink>
            <w:r>
              <w:rPr>
                <w:rStyle w:val="Destacado"/>
                <w:rFonts w:ascii="Segoe UI" w:hAnsi="Segoe UI" w:cs="Segoe UI"/>
                <w:lang w:val="en-GB"/>
              </w:rPr>
              <w:t xml:space="preserve"> the insurance policy or comparable guarantee from an insurance company or credit institution must in any </w:t>
            </w:r>
            <w:r>
              <w:rPr>
                <w:rStyle w:val="Destacado"/>
                <w:rFonts w:ascii="Segoe UI" w:hAnsi="Segoe UI" w:cs="Segoe UI"/>
                <w:lang w:val="en-GB"/>
              </w:rPr>
              <w:lastRenderedPageBreak/>
              <w:t>case comply with a number of conditions:</w:t>
            </w: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b/>
                <w:bCs/>
                <w:color w:val="FFFFFF" w:themeColor="background1"/>
                <w:lang w:val="en-GB"/>
              </w:rPr>
            </w:pPr>
            <w:r>
              <w:rPr>
                <w:b/>
                <w:bCs/>
                <w:color w:val="FFFFFF" w:themeColor="background1"/>
                <w:lang w:val="en-GB"/>
              </w:rPr>
              <w:lastRenderedPageBreak/>
              <w:t>19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Is there an inventory, ledger or similar document that records and preserves transactions based on local currency?</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pPr>
            <w:r>
              <w:rPr>
                <w:lang w:val="en-GB"/>
              </w:rPr>
              <w:t>It depends on the platform used for registration, recording and tracking. Normally all digital platforms archive the registration history.</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Pr="000F6B0D" w:rsidRDefault="00FC38B5">
            <w:pPr>
              <w:spacing w:after="0" w:line="240" w:lineRule="auto"/>
              <w:rPr>
                <w:lang w:val="en-GB"/>
              </w:rPr>
            </w:pPr>
            <w:r>
              <w:rPr>
                <w:lang w:val="en-GB"/>
              </w:rPr>
              <w:t>Depending on the system, a double entry is usually made in the debit or credit side of each part.</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r w:rsidR="00444367" w:rsidRPr="00A6035D">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52" w:type="dxa"/>
            </w:tcMar>
          </w:tcPr>
          <w:p w:rsidR="00444367" w:rsidRDefault="00FC38B5">
            <w:pPr>
              <w:spacing w:after="0" w:line="240" w:lineRule="auto"/>
              <w:jc w:val="center"/>
              <w:rPr>
                <w:b/>
                <w:bCs/>
                <w:color w:val="FFFFFF" w:themeColor="background1"/>
                <w:lang w:val="en-GB"/>
              </w:rPr>
            </w:pPr>
            <w:r>
              <w:rPr>
                <w:b/>
                <w:bCs/>
                <w:color w:val="FFFFFF" w:themeColor="background1"/>
                <w:lang w:val="en-GB"/>
              </w:rPr>
              <w:t>20</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rFonts w:ascii="Segoe UI" w:hAnsi="Segoe UI" w:cs="Segoe UI"/>
                <w:b/>
                <w:bCs/>
                <w:color w:val="80181F"/>
                <w:lang w:val="en-GB"/>
              </w:rPr>
            </w:pPr>
            <w:r>
              <w:rPr>
                <w:rFonts w:ascii="Segoe UI" w:hAnsi="Segoe UI" w:cs="Segoe UI"/>
                <w:b/>
                <w:bCs/>
                <w:color w:val="80181F"/>
                <w:lang w:val="en-GB"/>
              </w:rPr>
              <w:t>Other issues to highlight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FC38B5">
            <w:pPr>
              <w:spacing w:after="0" w:line="240" w:lineRule="auto"/>
              <w:rPr>
                <w:lang w:val="en-GB"/>
              </w:rPr>
            </w:pPr>
            <w:r w:rsidRPr="000F6B0D">
              <w:rPr>
                <w:lang w:val="en-GB"/>
              </w:rPr>
              <w:t>Issues considered relevant to the regulation of CTMs and EMs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52" w:type="dxa"/>
            </w:tcMar>
          </w:tcPr>
          <w:p w:rsidR="00444367" w:rsidRDefault="00444367">
            <w:pPr>
              <w:spacing w:after="0" w:line="240" w:lineRule="auto"/>
              <w:rPr>
                <w:rFonts w:ascii="Segoe UI" w:hAnsi="Segoe UI" w:cs="Segoe UI"/>
                <w:lang w:val="en-GB"/>
              </w:rPr>
            </w:pPr>
          </w:p>
        </w:tc>
      </w:tr>
    </w:tbl>
    <w:p w:rsidR="00444367" w:rsidRDefault="00444367">
      <w:pPr>
        <w:rPr>
          <w:b/>
          <w:bCs/>
          <w:u w:val="single"/>
          <w:lang w:val="en-GB"/>
        </w:rPr>
      </w:pPr>
    </w:p>
    <w:p w:rsidR="00444367" w:rsidRPr="000F6B0D" w:rsidRDefault="00FC38B5">
      <w:pPr>
        <w:keepNext/>
        <w:rPr>
          <w:rFonts w:ascii="Segoe UI" w:hAnsi="Segoe UI" w:cs="Segoe UI"/>
          <w:b/>
          <w:bCs/>
          <w:color w:val="80181F"/>
          <w:lang w:val="en-GB"/>
        </w:rPr>
      </w:pPr>
      <w:r w:rsidRPr="000F6B0D">
        <w:rPr>
          <w:rFonts w:ascii="Segoe UI" w:hAnsi="Segoe UI" w:cs="Segoe UI"/>
          <w:b/>
          <w:bCs/>
          <w:color w:val="80181F"/>
          <w:lang w:val="en-GB"/>
        </w:rPr>
        <w:t>CHALLENGES AND RECOMMENDATIONS:</w:t>
      </w:r>
    </w:p>
    <w:p w:rsidR="00444367" w:rsidRPr="000F6B0D" w:rsidRDefault="00FC38B5">
      <w:pPr>
        <w:rPr>
          <w:lang w:val="en-GB"/>
        </w:rPr>
      </w:pPr>
      <w:r w:rsidRPr="000F6B0D">
        <w:rPr>
          <w:rFonts w:ascii="Segoe UI" w:hAnsi="Segoe UI" w:cs="Segoe UI"/>
          <w:lang w:val="en-GB"/>
        </w:rPr>
        <w:t>Inclusion of the typologies of complementary and social currencies at the level of basic regulation.</w:t>
      </w:r>
    </w:p>
    <w:p w:rsidR="00444367" w:rsidRPr="000F6B0D" w:rsidRDefault="00444367">
      <w:pPr>
        <w:rPr>
          <w:rFonts w:ascii="Segoe UI" w:hAnsi="Segoe UI" w:cs="Segoe UI"/>
          <w:lang w:val="en-GB"/>
        </w:rPr>
      </w:pPr>
    </w:p>
    <w:p w:rsidR="00444367" w:rsidRPr="000F6B0D" w:rsidRDefault="00FC38B5">
      <w:pPr>
        <w:keepNext/>
        <w:rPr>
          <w:rFonts w:ascii="Segoe UI" w:hAnsi="Segoe UI" w:cs="Segoe UI"/>
          <w:b/>
          <w:bCs/>
          <w:color w:val="80181F"/>
          <w:lang w:val="en-GB"/>
        </w:rPr>
      </w:pPr>
      <w:r w:rsidRPr="000F6B0D">
        <w:rPr>
          <w:rFonts w:ascii="Segoe UI" w:hAnsi="Segoe UI" w:cs="Segoe UI"/>
          <w:b/>
          <w:bCs/>
          <w:color w:val="80181F"/>
          <w:lang w:val="en-GB"/>
        </w:rPr>
        <w:t>MEASURES TO BE IMPLEMENTED:</w:t>
      </w:r>
    </w:p>
    <w:p w:rsidR="00444367" w:rsidRPr="000F6B0D" w:rsidRDefault="00FC38B5">
      <w:pPr>
        <w:rPr>
          <w:rFonts w:ascii="Segoe UI" w:hAnsi="Segoe UI" w:cs="Segoe UI"/>
          <w:lang w:val="en-GB"/>
        </w:rPr>
      </w:pPr>
      <w:r w:rsidRPr="000F6B0D">
        <w:rPr>
          <w:rFonts w:ascii="Segoe UI" w:hAnsi="Segoe UI" w:cs="Segoe UI"/>
          <w:lang w:val="en-GB"/>
        </w:rPr>
        <w:t>To be completed by the local partner</w:t>
      </w:r>
    </w:p>
    <w:p w:rsidR="00444367" w:rsidRPr="000F6B0D" w:rsidRDefault="00444367">
      <w:pPr>
        <w:rPr>
          <w:rFonts w:ascii="Segoe UI" w:hAnsi="Segoe UI" w:cs="Segoe UI"/>
          <w:b/>
          <w:bCs/>
          <w:color w:val="80181F"/>
          <w:lang w:val="en-GB"/>
        </w:rPr>
      </w:pPr>
    </w:p>
    <w:p w:rsidR="00444367" w:rsidRPr="000F6B0D" w:rsidRDefault="00FC38B5">
      <w:pPr>
        <w:keepNext/>
        <w:rPr>
          <w:rFonts w:ascii="Segoe UI" w:hAnsi="Segoe UI" w:cs="Segoe UI"/>
          <w:b/>
          <w:bCs/>
          <w:color w:val="80181F"/>
          <w:lang w:val="en-GB"/>
        </w:rPr>
      </w:pPr>
      <w:r w:rsidRPr="000F6B0D">
        <w:rPr>
          <w:rFonts w:ascii="Segoe UI" w:hAnsi="Segoe UI" w:cs="Segoe UI"/>
          <w:b/>
          <w:bCs/>
          <w:color w:val="80181F"/>
          <w:lang w:val="en-GB"/>
        </w:rPr>
        <w:lastRenderedPageBreak/>
        <w:t>OTHER INTERESTING SUGGESTIONS/NOTES:</w:t>
      </w:r>
    </w:p>
    <w:p w:rsidR="00444367" w:rsidRPr="000F6B0D" w:rsidRDefault="00FC38B5">
      <w:pPr>
        <w:rPr>
          <w:rFonts w:ascii="Segoe UI" w:hAnsi="Segoe UI" w:cs="Segoe UI"/>
          <w:lang w:val="en-GB"/>
        </w:rPr>
      </w:pPr>
      <w:r w:rsidRPr="000F6B0D">
        <w:rPr>
          <w:rFonts w:ascii="Segoe UI" w:hAnsi="Segoe UI" w:cs="Segoe UI"/>
          <w:lang w:val="en-GB"/>
        </w:rPr>
        <w:t>To be completed by the local partner</w:t>
      </w:r>
    </w:p>
    <w:p w:rsidR="00444367" w:rsidRPr="000F6B0D" w:rsidRDefault="00444367">
      <w:pPr>
        <w:rPr>
          <w:rFonts w:ascii="Segoe UI" w:hAnsi="Segoe UI" w:cs="Segoe UI"/>
          <w:b/>
          <w:bCs/>
          <w:u w:val="single"/>
          <w:lang w:val="en-GB"/>
        </w:rPr>
      </w:pPr>
      <w:bookmarkStart w:id="1" w:name="_Hlk77696174"/>
      <w:bookmarkEnd w:id="1"/>
    </w:p>
    <w:p w:rsidR="00444367" w:rsidRPr="000F6B0D" w:rsidRDefault="00FC38B5">
      <w:pPr>
        <w:keepNext/>
        <w:rPr>
          <w:rFonts w:ascii="Segoe UI" w:hAnsi="Segoe UI" w:cs="Segoe UI"/>
          <w:b/>
          <w:bCs/>
          <w:color w:val="80181F"/>
          <w:lang w:val="en-GB"/>
        </w:rPr>
      </w:pPr>
      <w:r w:rsidRPr="000F6B0D">
        <w:rPr>
          <w:rFonts w:ascii="Segoe UI" w:hAnsi="Segoe UI" w:cs="Segoe UI"/>
          <w:b/>
          <w:bCs/>
          <w:color w:val="80181F"/>
          <w:lang w:val="en-GB"/>
        </w:rPr>
        <w:t>CONFLICTING ASPECTS DETECTED (if any):</w:t>
      </w:r>
    </w:p>
    <w:p w:rsidR="00444367" w:rsidRPr="000F6B0D" w:rsidRDefault="00FC38B5">
      <w:pPr>
        <w:rPr>
          <w:lang w:val="en-GB"/>
        </w:rPr>
      </w:pPr>
      <w:r w:rsidRPr="000F6B0D">
        <w:rPr>
          <w:rFonts w:ascii="Segoe UI" w:hAnsi="Segoe UI" w:cs="Segoe UI"/>
          <w:lang w:val="en-GB"/>
        </w:rPr>
        <w:t>Legal vacuum of complementary and social currencies and lack of social legitimacy for their use</w:t>
      </w:r>
    </w:p>
    <w:p w:rsidR="00444367" w:rsidRPr="000F6B0D" w:rsidRDefault="00444367">
      <w:pPr>
        <w:rPr>
          <w:rFonts w:ascii="Segoe UI" w:hAnsi="Segoe UI" w:cs="Segoe UI"/>
          <w:b/>
          <w:bCs/>
          <w:u w:val="single"/>
          <w:lang w:val="en-GB"/>
        </w:rPr>
      </w:pPr>
    </w:p>
    <w:p w:rsidR="00444367" w:rsidRPr="000F6B0D" w:rsidRDefault="00FC38B5">
      <w:pPr>
        <w:keepNext/>
        <w:rPr>
          <w:rFonts w:ascii="Segoe UI" w:hAnsi="Segoe UI" w:cs="Segoe UI"/>
          <w:b/>
          <w:bCs/>
          <w:color w:val="80181F"/>
          <w:lang w:val="en-GB"/>
        </w:rPr>
      </w:pPr>
      <w:r w:rsidRPr="000F6B0D">
        <w:rPr>
          <w:rFonts w:ascii="Segoe UI" w:hAnsi="Segoe UI" w:cs="Segoe UI"/>
          <w:b/>
          <w:bCs/>
          <w:color w:val="80181F"/>
          <w:lang w:val="en-GB"/>
        </w:rPr>
        <w:t xml:space="preserve">EXAMPLES OF ACTIONS DEVELOPED IN THE COUNTRY IN THIS AREA OF SSE, REFERENCES AND HOW THEY HAVE BEEN </w:t>
      </w:r>
      <w:proofErr w:type="gramStart"/>
      <w:r w:rsidRPr="000F6B0D">
        <w:rPr>
          <w:rFonts w:ascii="Segoe UI" w:hAnsi="Segoe UI" w:cs="Segoe UI"/>
          <w:b/>
          <w:bCs/>
          <w:color w:val="80181F"/>
          <w:lang w:val="en-GB"/>
        </w:rPr>
        <w:t>DEVELOPED</w:t>
      </w:r>
      <w:proofErr w:type="gramEnd"/>
      <w:r w:rsidRPr="000F6B0D">
        <w:rPr>
          <w:rFonts w:ascii="Segoe UI" w:hAnsi="Segoe UI" w:cs="Segoe UI"/>
          <w:b/>
          <w:bCs/>
          <w:color w:val="80181F"/>
          <w:lang w:val="en-GB"/>
        </w:rPr>
        <w:br/>
        <w:t>(if any)</w:t>
      </w:r>
    </w:p>
    <w:p w:rsidR="00444367" w:rsidRPr="000F6B0D" w:rsidRDefault="00486B85">
      <w:pPr>
        <w:rPr>
          <w:lang w:val="en-GB"/>
        </w:rPr>
      </w:pPr>
      <w:hyperlink r:id="rId27">
        <w:r w:rsidR="00FC38B5">
          <w:rPr>
            <w:rStyle w:val="EnlacedeInternet"/>
            <w:rFonts w:ascii="Segoe UI" w:hAnsi="Segoe UI" w:cs="Segoe UI"/>
            <w:b/>
            <w:bCs/>
            <w:lang w:val="en-GB"/>
          </w:rPr>
          <w:t>https://mapomc.glideapp.io/dl/6471c6?full=t</w:t>
        </w:r>
      </w:hyperlink>
    </w:p>
    <w:p w:rsidR="00444367" w:rsidRPr="000F6B0D" w:rsidRDefault="00FC38B5">
      <w:pPr>
        <w:rPr>
          <w:lang w:val="en-GB"/>
        </w:rPr>
      </w:pPr>
      <w:r>
        <w:rPr>
          <w:rFonts w:ascii="Segoe UI" w:hAnsi="Segoe UI" w:cs="Segoe UI"/>
          <w:lang w:val="en-GB"/>
        </w:rPr>
        <w:t>Mapping, classification and statistics of social and complementary currencies in Spain</w:t>
      </w:r>
    </w:p>
    <w:p w:rsidR="00444367" w:rsidRPr="000F6B0D" w:rsidRDefault="00444367">
      <w:pPr>
        <w:rPr>
          <w:lang w:val="en-GB"/>
        </w:rPr>
      </w:pPr>
    </w:p>
    <w:sectPr w:rsidR="00444367" w:rsidRPr="000F6B0D">
      <w:headerReference w:type="default" r:id="rId28"/>
      <w:footerReference w:type="default" r:id="rId29"/>
      <w:pgSz w:w="16838" w:h="11906" w:orient="landscape"/>
      <w:pgMar w:top="1134" w:right="1134" w:bottom="1701" w:left="1134" w:header="708" w:footer="708"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B85" w:rsidRDefault="00486B85">
      <w:pPr>
        <w:spacing w:after="0" w:line="240" w:lineRule="auto"/>
      </w:pPr>
      <w:r>
        <w:separator/>
      </w:r>
    </w:p>
  </w:endnote>
  <w:endnote w:type="continuationSeparator" w:id="0">
    <w:p w:rsidR="00486B85" w:rsidRDefault="00486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charset w:val="01"/>
    <w:family w:val="roman"/>
    <w:pitch w:val="variable"/>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367" w:rsidRDefault="00FC38B5">
    <w:pPr>
      <w:pStyle w:val="Piedepgina"/>
    </w:pPr>
    <w:r>
      <w:rPr>
        <w:noProof/>
        <w:lang w:eastAsia="es-ES"/>
      </w:rPr>
      <w:drawing>
        <wp:anchor distT="0" distB="0" distL="114300" distR="114935" simplePos="0" relativeHeight="5" behindDoc="1" locked="0" layoutInCell="1" allowOverlap="1">
          <wp:simplePos x="0" y="0"/>
          <wp:positionH relativeFrom="page">
            <wp:posOffset>-15240</wp:posOffset>
          </wp:positionH>
          <wp:positionV relativeFrom="page">
            <wp:posOffset>9947275</wp:posOffset>
          </wp:positionV>
          <wp:extent cx="7962900" cy="744855"/>
          <wp:effectExtent l="0" t="0" r="0" b="0"/>
          <wp:wrapNone/>
          <wp:docPr id="5"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7" descr="C:\Users\MedTOWN #3\AppData\Local\Microsoft\Windows\INetCache\Content.Word\FooterRainbowPeople.jpg"/>
                  <pic:cNvPicPr>
                    <a:picLocks noChangeAspect="1" noChangeArrowheads="1"/>
                  </pic:cNvPicPr>
                </pic:nvPicPr>
                <pic:blipFill>
                  <a:blip r:embed="rId1"/>
                  <a:stretch>
                    <a:fillRect/>
                  </a:stretch>
                </pic:blipFill>
                <pic:spPr bwMode="auto">
                  <a:xfrm>
                    <a:off x="0" y="0"/>
                    <a:ext cx="7962900" cy="744855"/>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367" w:rsidRDefault="00FC38B5">
    <w:pPr>
      <w:pStyle w:val="Piedepgina"/>
      <w:tabs>
        <w:tab w:val="left" w:pos="799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B85" w:rsidRDefault="00486B85"/>
  </w:footnote>
  <w:footnote w:type="continuationSeparator" w:id="0">
    <w:p w:rsidR="00486B85" w:rsidRDefault="00486B85">
      <w:r>
        <w:continuationSeparator/>
      </w:r>
    </w:p>
  </w:footnote>
  <w:footnote w:id="1">
    <w:p w:rsidR="00444367" w:rsidRPr="000F6B0D" w:rsidRDefault="00FC38B5">
      <w:pPr>
        <w:pStyle w:val="Textonotapie"/>
        <w:rPr>
          <w:lang w:val="en-GB"/>
        </w:rPr>
      </w:pPr>
      <w:r>
        <w:rPr>
          <w:rStyle w:val="Refdenotaalpie"/>
        </w:rPr>
        <w:footnoteRef/>
      </w:r>
      <w:r w:rsidRPr="000F6B0D">
        <w:rPr>
          <w:rStyle w:val="Refdenotaalpie"/>
          <w:lang w:val="en-GB"/>
        </w:rPr>
        <w:tab/>
      </w:r>
      <w:r>
        <w:rPr>
          <w:lang w:val="en-GB"/>
        </w:rPr>
        <w:t xml:space="preserve"> Especially related to the Social Solidarity Economy (SSE).</w:t>
      </w:r>
    </w:p>
  </w:footnote>
  <w:footnote w:id="2">
    <w:p w:rsidR="00444367" w:rsidRPr="000F6B0D" w:rsidRDefault="00FC38B5">
      <w:pPr>
        <w:pStyle w:val="Textonotapie"/>
        <w:rPr>
          <w:lang w:val="en-GB"/>
        </w:rPr>
      </w:pPr>
      <w:r>
        <w:rPr>
          <w:rStyle w:val="Refdenotaalpie"/>
        </w:rPr>
        <w:footnoteRef/>
      </w:r>
      <w:r w:rsidRPr="000F6B0D">
        <w:rPr>
          <w:rStyle w:val="Refdenotaalpie"/>
          <w:lang w:val="en-GB"/>
        </w:rPr>
        <w:tab/>
      </w:r>
      <w:r>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367" w:rsidRDefault="00FC38B5">
    <w:pPr>
      <w:pStyle w:val="Encabezado"/>
    </w:pPr>
    <w:r>
      <w:rPr>
        <w:noProof/>
        <w:lang w:eastAsia="es-ES"/>
      </w:rPr>
      <w:drawing>
        <wp:anchor distT="0" distB="0" distL="114300" distR="0" simplePos="0" relativeHeight="4" behindDoc="1" locked="0" layoutInCell="1" allowOverlap="1">
          <wp:simplePos x="0" y="0"/>
          <wp:positionH relativeFrom="margin">
            <wp:align>right</wp:align>
          </wp:positionH>
          <wp:positionV relativeFrom="paragraph">
            <wp:posOffset>-125730</wp:posOffset>
          </wp:positionV>
          <wp:extent cx="1239520" cy="574040"/>
          <wp:effectExtent l="0" t="0" r="0" b="0"/>
          <wp:wrapNone/>
          <wp:docPr id="3"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5" descr="C:\Users\ACPP\Downloads\Logotipo Color-transparente.png"/>
                  <pic:cNvPicPr>
                    <a:picLocks noChangeAspect="1" noChangeArrowheads="1"/>
                  </pic:cNvPicPr>
                </pic:nvPicPr>
                <pic:blipFill>
                  <a:blip r:embed="rId1"/>
                  <a:stretch>
                    <a:fillRect/>
                  </a:stretch>
                </pic:blipFill>
                <pic:spPr bwMode="auto">
                  <a:xfrm>
                    <a:off x="0" y="0"/>
                    <a:ext cx="1239520" cy="574040"/>
                  </a:xfrm>
                  <a:prstGeom prst="rect">
                    <a:avLst/>
                  </a:prstGeom>
                </pic:spPr>
              </pic:pic>
            </a:graphicData>
          </a:graphic>
        </wp:anchor>
      </w:drawing>
    </w:r>
    <w:r>
      <w:rPr>
        <w:noProof/>
        <w:lang w:eastAsia="es-ES"/>
      </w:rPr>
      <w:drawing>
        <wp:anchor distT="0" distB="0" distL="0" distR="114300" simplePos="0" relativeHeight="6" behindDoc="1" locked="0" layoutInCell="1" allowOverlap="1">
          <wp:simplePos x="0" y="0"/>
          <wp:positionH relativeFrom="margin">
            <wp:align>left</wp:align>
          </wp:positionH>
          <wp:positionV relativeFrom="page">
            <wp:posOffset>11430</wp:posOffset>
          </wp:positionV>
          <wp:extent cx="3707765" cy="1440180"/>
          <wp:effectExtent l="0" t="0" r="0" b="0"/>
          <wp:wrapTopAndBottom/>
          <wp:docPr id="4"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11" descr="C:\Users\MedTOWN #3\AppData\Local\Microsoft\Windows\INetCache\Content.Word\en_medtown.png"/>
                  <pic:cNvPicPr>
                    <a:picLocks noChangeAspect="1" noChangeArrowheads="1"/>
                  </pic:cNvPicPr>
                </pic:nvPicPr>
                <pic:blipFill>
                  <a:blip r:embed="rId2"/>
                  <a:stretch>
                    <a:fillRect/>
                  </a:stretch>
                </pic:blipFill>
                <pic:spPr bwMode="auto">
                  <a:xfrm>
                    <a:off x="0" y="0"/>
                    <a:ext cx="3707765" cy="14401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367" w:rsidRDefault="0044436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67"/>
    <w:rsid w:val="000F6B0D"/>
    <w:rsid w:val="00444367"/>
    <w:rsid w:val="00486B85"/>
    <w:rsid w:val="00A6035D"/>
    <w:rsid w:val="00FC38B5"/>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36B76E-C8A3-45BD-BF09-2F47D7BE0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color w:val="00000A"/>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semiHidden/>
    <w:qFormat/>
    <w:rsid w:val="00517002"/>
    <w:rPr>
      <w:sz w:val="20"/>
      <w:szCs w:val="20"/>
    </w:rPr>
  </w:style>
  <w:style w:type="character" w:styleId="Refdenotaalpie">
    <w:name w:val="footnote reference"/>
    <w:basedOn w:val="Fuentedeprrafopredeter"/>
    <w:uiPriority w:val="99"/>
    <w:semiHidden/>
    <w:unhideWhenUsed/>
    <w:qFormat/>
    <w:rsid w:val="00517002"/>
    <w:rPr>
      <w:vertAlign w:val="superscript"/>
    </w:rPr>
  </w:style>
  <w:style w:type="character" w:customStyle="1" w:styleId="EncabezadoCar">
    <w:name w:val="Encabezado Car"/>
    <w:basedOn w:val="Fuentedeprrafopredeter"/>
    <w:link w:val="Encabezado"/>
    <w:uiPriority w:val="99"/>
    <w:qFormat/>
    <w:rsid w:val="0097244C"/>
  </w:style>
  <w:style w:type="character" w:customStyle="1" w:styleId="PiedepginaCar">
    <w:name w:val="Pie de página Car"/>
    <w:basedOn w:val="Fuentedeprrafopredeter"/>
    <w:link w:val="Piedepgina"/>
    <w:uiPriority w:val="99"/>
    <w:qFormat/>
    <w:rsid w:val="0097244C"/>
  </w:style>
  <w:style w:type="character" w:customStyle="1" w:styleId="EnlacedeInternet">
    <w:name w:val="Enlace de Internet"/>
    <w:basedOn w:val="Fuentedeprrafopredeter"/>
    <w:uiPriority w:val="99"/>
    <w:unhideWhenUsed/>
    <w:rsid w:val="0097244C"/>
    <w:rPr>
      <w:color w:val="0563C1" w:themeColor="hyperlink"/>
      <w:u w:val="single"/>
    </w:rPr>
  </w:style>
  <w:style w:type="character" w:styleId="Refdecomentario">
    <w:name w:val="annotation reference"/>
    <w:basedOn w:val="Fuentedeprrafopredeter"/>
    <w:uiPriority w:val="99"/>
    <w:semiHidden/>
    <w:unhideWhenUsed/>
    <w:qFormat/>
    <w:rsid w:val="00592DAD"/>
    <w:rPr>
      <w:sz w:val="16"/>
      <w:szCs w:val="16"/>
    </w:rPr>
  </w:style>
  <w:style w:type="character" w:customStyle="1" w:styleId="TextocomentarioCar">
    <w:name w:val="Texto comentario Car"/>
    <w:basedOn w:val="Fuentedeprrafopredeter"/>
    <w:link w:val="Textocomentario"/>
    <w:uiPriority w:val="99"/>
    <w:semiHidden/>
    <w:qFormat/>
    <w:rsid w:val="00592DAD"/>
    <w:rPr>
      <w:sz w:val="20"/>
      <w:szCs w:val="20"/>
    </w:rPr>
  </w:style>
  <w:style w:type="character" w:customStyle="1" w:styleId="TextodegloboCar">
    <w:name w:val="Texto de globo Car"/>
    <w:basedOn w:val="Fuentedeprrafopredeter"/>
    <w:link w:val="Textodeglobo"/>
    <w:uiPriority w:val="99"/>
    <w:semiHidden/>
    <w:qFormat/>
    <w:rsid w:val="00592DAD"/>
    <w:rPr>
      <w:rFonts w:ascii="Segoe UI" w:hAnsi="Segoe UI" w:cs="Segoe UI"/>
      <w:sz w:val="18"/>
      <w:szCs w:val="18"/>
    </w:rPr>
  </w:style>
  <w:style w:type="character" w:customStyle="1" w:styleId="ListLabel1">
    <w:name w:val="ListLabel 1"/>
    <w:qFormat/>
    <w:rPr>
      <w:u w:val="none"/>
    </w:rPr>
  </w:style>
  <w:style w:type="character" w:customStyle="1" w:styleId="Caracteresdenotaalpie">
    <w:name w:val="Caracteres de nota al pie"/>
    <w:qFormat/>
  </w:style>
  <w:style w:type="character" w:customStyle="1" w:styleId="Ancladenotaalpie">
    <w:name w:val="Ancla de nota al pie"/>
    <w:rPr>
      <w:vertAlign w:val="superscript"/>
    </w:rPr>
  </w:style>
  <w:style w:type="character" w:customStyle="1" w:styleId="Destacado">
    <w:name w:val="Destacado"/>
    <w:qFormat/>
    <w:rPr>
      <w:i/>
      <w:iCs/>
    </w:rPr>
  </w:style>
  <w:style w:type="character" w:customStyle="1" w:styleId="Ancladenotafinal">
    <w:name w:val="Ancla de nota final"/>
    <w:rPr>
      <w:vertAlign w:val="superscript"/>
    </w:rPr>
  </w:style>
  <w:style w:type="character" w:customStyle="1" w:styleId="Caracteresdenotafinal">
    <w:name w:val="Caracteres de nota final"/>
    <w:qFormat/>
  </w:style>
  <w:style w:type="paragraph" w:styleId="Encabezado">
    <w:name w:val="header"/>
    <w:basedOn w:val="Normal"/>
    <w:next w:val="Textoindependiente"/>
    <w:link w:val="EncabezadoCar"/>
    <w:uiPriority w:val="99"/>
    <w:unhideWhenUsed/>
    <w:rsid w:val="0097244C"/>
    <w:pPr>
      <w:tabs>
        <w:tab w:val="center" w:pos="4252"/>
        <w:tab w:val="right" w:pos="8504"/>
      </w:tabs>
      <w:spacing w:after="0" w:line="240" w:lineRule="auto"/>
    </w:pPr>
  </w:style>
  <w:style w:type="paragraph" w:styleId="Textoindependiente">
    <w:name w:val="Body Text"/>
    <w:basedOn w:val="Normal"/>
    <w:pPr>
      <w:spacing w:after="140" w:line="288" w:lineRule="auto"/>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style>
  <w:style w:type="paragraph" w:styleId="Piedepgina">
    <w:name w:val="footer"/>
    <w:basedOn w:val="Normal"/>
    <w:link w:val="PiedepginaCar"/>
    <w:uiPriority w:val="99"/>
    <w:unhideWhenUsed/>
    <w:rsid w:val="0097244C"/>
    <w:pPr>
      <w:tabs>
        <w:tab w:val="center" w:pos="4252"/>
        <w:tab w:val="right" w:pos="8504"/>
      </w:tabs>
      <w:spacing w:after="0" w:line="240" w:lineRule="auto"/>
    </w:pPr>
  </w:style>
  <w:style w:type="paragraph" w:styleId="NormalWeb">
    <w:name w:val="Normal (Web)"/>
    <w:basedOn w:val="Normal"/>
    <w:uiPriority w:val="99"/>
    <w:semiHidden/>
    <w:unhideWhenUsed/>
    <w:qFormat/>
    <w:rsid w:val="0097244C"/>
    <w:pPr>
      <w:spacing w:beforeAutospacing="1" w:afterAutospacing="1" w:line="240" w:lineRule="auto"/>
    </w:pPr>
    <w:rPr>
      <w:rFonts w:ascii="Times New Roman" w:eastAsiaTheme="minorEastAsia" w:hAnsi="Times New Roman" w:cs="Times New Roman"/>
      <w:sz w:val="24"/>
      <w:szCs w:val="24"/>
      <w:lang w:eastAsia="es-ES"/>
    </w:rPr>
  </w:style>
  <w:style w:type="paragraph" w:styleId="Textocomentario">
    <w:name w:val="annotation text"/>
    <w:basedOn w:val="Normal"/>
    <w:link w:val="TextocomentarioCar"/>
    <w:uiPriority w:val="99"/>
    <w:semiHidden/>
    <w:unhideWhenUsed/>
    <w:qFormat/>
    <w:rsid w:val="00592DAD"/>
    <w:pPr>
      <w:spacing w:line="240" w:lineRule="auto"/>
    </w:pPr>
    <w:rPr>
      <w:sz w:val="20"/>
      <w:szCs w:val="20"/>
    </w:rPr>
  </w:style>
  <w:style w:type="paragraph" w:styleId="Textodeglobo">
    <w:name w:val="Balloon Text"/>
    <w:basedOn w:val="Normal"/>
    <w:link w:val="TextodegloboCar"/>
    <w:uiPriority w:val="99"/>
    <w:semiHidden/>
    <w:unhideWhenUsed/>
    <w:qFormat/>
    <w:rsid w:val="00592DAD"/>
    <w:pPr>
      <w:spacing w:after="0" w:line="240" w:lineRule="auto"/>
    </w:pPr>
    <w:rPr>
      <w:rFonts w:ascii="Segoe UI" w:hAnsi="Segoe UI" w:cs="Segoe UI"/>
      <w:sz w:val="18"/>
      <w:szCs w:val="18"/>
    </w:rPr>
  </w:style>
  <w:style w:type="table" w:styleId="Tablaconcuadrcula">
    <w:name w:val="Table Grid"/>
    <w:basedOn w:val="Tablanormal"/>
    <w:uiPriority w:val="39"/>
    <w:rsid w:val="0027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uiPriority w:val="39"/>
    <w:rsid w:val="00592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yperlink" Target="https://noticias.juridicas.com/base_datos/Fiscal/632150-rdl-19-2018-de-23-nov-servicios-de-pago-y-otras-medidas-urgentes-en-materia.html" TargetMode="Externa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header" Target="header1.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https://noticias.juridicas.com/base_datos/Fiscal/632150-rdl-19-2018-de-23-nov-servicios-de-pago-y-otras-medidas-urgentes-en-materia.html" TargetMode="Externa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hyperlink" Target="https://noticias.juridicas.com/base_datos/Admin/l21-2011.html" TargetMode="Externa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hyperlink" Target="https://noticias.juridicas.com/base_datos/Fiscal/632150-rdl-19-2018-de-23-nov-servicios-de-pago-y-otras-medidas-urgentes-en-materia.html" TargetMode="External"/><Relationship Id="rId28"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yperlink" Target="https://www.boe.es/boe/dias/2011/07/27/pdfs/BOE-A-2011-12909.pdf" TargetMode="External"/><Relationship Id="rId27" Type="http://schemas.openxmlformats.org/officeDocument/2006/relationships/hyperlink" Target="https://mapomc.glideapp.io/dl/6471c6?full=t"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DE544-CDA1-4642-BD91-8512F2D04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1895</Words>
  <Characters>10427</Characters>
  <Application>Microsoft Office Word</Application>
  <DocSecurity>0</DocSecurity>
  <Lines>86</Lines>
  <Paragraphs>24</Paragraphs>
  <ScaleCrop>false</ScaleCrop>
  <Company/>
  <LinksUpToDate>false</LinksUpToDate>
  <CharactersWithSpaces>12298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docId 06F4682102DDC4FB6B6D70F6B9F0E5E6</cp:keywords>
  <dc:description/>
  <cp:lastModifiedBy>MedTOWN #1</cp:lastModifiedBy>
  <cp:revision>13</cp:revision>
  <dcterms:created xsi:type="dcterms:W3CDTF">2021-10-05T17:56:00Z</dcterms:created>
  <dcterms:modified xsi:type="dcterms:W3CDTF">2024-01-17T13:22:00Z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